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p>
    <w:p>
      <w:pPr>
        <w:rPr>
          <w:rFonts w:ascii="黑体" w:hAnsi="黑体" w:eastAsia="黑体"/>
          <w:sz w:val="32"/>
          <w:szCs w:val="32"/>
        </w:rPr>
      </w:pPr>
    </w:p>
    <w:p>
      <w:pPr>
        <w:jc w:val="center"/>
        <w:rPr>
          <w:rFonts w:ascii="文星简大标宋" w:eastAsia="文星简大标宋"/>
          <w:sz w:val="84"/>
          <w:szCs w:val="84"/>
        </w:rPr>
      </w:pPr>
    </w:p>
    <w:p>
      <w:pPr>
        <w:jc w:val="center"/>
        <w:rPr>
          <w:rFonts w:hint="eastAsia" w:ascii="方正小标宋简体" w:eastAsia="方正小标宋简体"/>
          <w:spacing w:val="60"/>
          <w:sz w:val="74"/>
        </w:rPr>
      </w:pPr>
      <w:r>
        <w:rPr>
          <w:rFonts w:hint="eastAsia" w:ascii="方正小标宋简体" w:eastAsia="方正小标宋简体"/>
          <w:spacing w:val="60"/>
          <w:sz w:val="74"/>
        </w:rPr>
        <w:t>2019年度</w:t>
      </w:r>
    </w:p>
    <w:p>
      <w:pPr>
        <w:jc w:val="center"/>
        <w:rPr>
          <w:rFonts w:hint="eastAsia" w:ascii="方正小标宋简体" w:eastAsia="方正小标宋简体"/>
          <w:spacing w:val="60"/>
          <w:sz w:val="74"/>
        </w:rPr>
      </w:pPr>
      <w:r>
        <w:rPr>
          <w:rFonts w:hint="eastAsia" w:ascii="方正小标宋简体" w:eastAsia="方正小标宋简体"/>
          <w:spacing w:val="60"/>
          <w:sz w:val="74"/>
          <w:lang w:eastAsia="zh-CN"/>
        </w:rPr>
        <w:t>曲阜市图书馆</w:t>
      </w:r>
      <w:r>
        <w:rPr>
          <w:rFonts w:hint="eastAsia" w:ascii="方正小标宋简体" w:eastAsia="方正小标宋简体"/>
          <w:spacing w:val="60"/>
          <w:sz w:val="74"/>
        </w:rPr>
        <w:t>部门</w:t>
      </w:r>
    </w:p>
    <w:p>
      <w:pPr>
        <w:jc w:val="center"/>
        <w:rPr>
          <w:rFonts w:hint="eastAsia" w:ascii="方正小标宋简体" w:eastAsia="方正小标宋简体"/>
          <w:spacing w:val="60"/>
          <w:sz w:val="74"/>
          <w:lang w:eastAsia="zh-CN"/>
        </w:rPr>
      </w:pPr>
      <w:r>
        <w:rPr>
          <w:rFonts w:hint="eastAsia" w:ascii="方正小标宋简体" w:eastAsia="方正小标宋简体"/>
          <w:spacing w:val="60"/>
          <w:sz w:val="74"/>
          <w:lang w:eastAsia="zh-CN"/>
        </w:rPr>
        <w:t>决算</w:t>
      </w:r>
    </w:p>
    <w:p>
      <w:pPr>
        <w:rPr>
          <w:rFonts w:ascii="方正小标宋简体" w:eastAsia="方正小标宋简体"/>
          <w:sz w:val="52"/>
          <w:szCs w:val="52"/>
        </w:rPr>
      </w:pPr>
    </w:p>
    <w:p>
      <w:pPr>
        <w:rPr>
          <w:rFonts w:ascii="方正小标宋简体" w:eastAsia="方正小标宋简体"/>
        </w:rPr>
      </w:pPr>
    </w:p>
    <w:p/>
    <w:p/>
    <w:p/>
    <w:p/>
    <w:p/>
    <w:p/>
    <w:p/>
    <w:p/>
    <w:p/>
    <w:p/>
    <w:p>
      <w:pPr>
        <w:jc w:val="center"/>
        <w:rPr>
          <w:rFonts w:hint="eastAsia" w:ascii="方正舒体" w:hAnsi="方正舒体" w:eastAsia="方正舒体" w:cs="方正舒体"/>
          <w:spacing w:val="60"/>
          <w:sz w:val="44"/>
          <w:szCs w:val="44"/>
          <w:lang w:eastAsia="zh-CN"/>
        </w:rPr>
        <w:sectPr>
          <w:footerReference r:id="rId3" w:type="default"/>
          <w:footerReference r:id="rId4" w:type="even"/>
          <w:pgSz w:w="11906" w:h="16838"/>
          <w:pgMar w:top="1440" w:right="1800" w:bottom="1440" w:left="1800" w:header="851" w:footer="992" w:gutter="0"/>
          <w:cols w:space="425" w:num="1"/>
          <w:docGrid w:type="lines" w:linePitch="312" w:charSpace="0"/>
        </w:sectPr>
      </w:pPr>
    </w:p>
    <w:p>
      <w:pPr>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pacing w:val="60"/>
          <w:sz w:val="44"/>
          <w:szCs w:val="44"/>
          <w:lang w:eastAsia="zh-CN"/>
        </w:rPr>
        <w:t>目 录</w:t>
      </w:r>
    </w:p>
    <w:p>
      <w:pPr>
        <w:spacing w:line="580" w:lineRule="exact"/>
        <w:ind w:firstLine="320" w:firstLineChars="100"/>
        <w:jc w:val="left"/>
        <w:rPr>
          <w:rFonts w:hint="default" w:ascii="黑体" w:hAnsi="黑体" w:eastAsia="黑体"/>
          <w:sz w:val="32"/>
          <w:szCs w:val="32"/>
          <w:lang w:val="en-US"/>
        </w:rPr>
      </w:pPr>
      <w:r>
        <w:rPr>
          <w:rFonts w:hint="eastAsia" w:ascii="黑体" w:hAnsi="黑体" w:eastAsia="黑体"/>
          <w:sz w:val="32"/>
          <w:szCs w:val="32"/>
        </w:rPr>
        <w:t>第一部分  部门概况</w:t>
      </w:r>
      <w:r>
        <w:rPr>
          <w:rFonts w:hint="eastAsia" w:ascii="仿宋_GB2312" w:hAnsi="Times New Roman" w:eastAsia="仿宋_GB2312" w:cs="Times New Roman"/>
          <w:sz w:val="32"/>
          <w:szCs w:val="24"/>
          <w:lang w:eastAsia="zh-CN"/>
        </w:rPr>
        <w:t>………………………………………</w:t>
      </w:r>
      <w:r>
        <w:rPr>
          <w:rFonts w:hint="eastAsia" w:ascii="仿宋_GB2312" w:hAnsi="Times New Roman" w:eastAsia="仿宋_GB2312" w:cs="Times New Roman"/>
          <w:sz w:val="32"/>
          <w:szCs w:val="24"/>
          <w:lang w:val="en-US" w:eastAsia="zh-CN"/>
        </w:rPr>
        <w:t>1</w:t>
      </w:r>
    </w:p>
    <w:p>
      <w:pPr>
        <w:spacing w:line="580" w:lineRule="exact"/>
        <w:ind w:firstLine="640" w:firstLineChars="200"/>
        <w:rPr>
          <w:rFonts w:hint="default" w:ascii="仿宋_GB2312" w:hAnsi="Times New Roman" w:eastAsia="仿宋_GB2312" w:cs="Times New Roman"/>
          <w:sz w:val="32"/>
          <w:szCs w:val="24"/>
          <w:lang w:val="en-US" w:eastAsia="zh-CN"/>
        </w:rPr>
      </w:pPr>
      <w:r>
        <w:rPr>
          <w:rFonts w:hint="eastAsia" w:ascii="仿宋_GB2312" w:hAnsi="Times New Roman" w:eastAsia="仿宋_GB2312" w:cs="Times New Roman"/>
          <w:sz w:val="32"/>
          <w:szCs w:val="24"/>
        </w:rPr>
        <w:t>一、部门职责</w:t>
      </w:r>
      <w:r>
        <w:rPr>
          <w:rFonts w:hint="eastAsia" w:ascii="仿宋_GB2312" w:hAnsi="Times New Roman" w:eastAsia="仿宋_GB2312" w:cs="Times New Roman"/>
          <w:sz w:val="32"/>
          <w:szCs w:val="24"/>
          <w:lang w:eastAsia="zh-CN"/>
        </w:rPr>
        <w:t>……………………………………………</w:t>
      </w:r>
      <w:r>
        <w:rPr>
          <w:rFonts w:hint="eastAsia" w:ascii="仿宋_GB2312" w:hAnsi="Times New Roman" w:eastAsia="仿宋_GB2312" w:cs="Times New Roman"/>
          <w:sz w:val="32"/>
          <w:szCs w:val="24"/>
          <w:lang w:val="en-US" w:eastAsia="zh-CN"/>
        </w:rPr>
        <w:t>2</w:t>
      </w:r>
    </w:p>
    <w:p>
      <w:pPr>
        <w:spacing w:line="580" w:lineRule="exact"/>
        <w:ind w:firstLine="640" w:firstLineChars="200"/>
        <w:rPr>
          <w:rFonts w:hint="default" w:ascii="仿宋_GB2312" w:hAnsi="Times New Roman" w:eastAsia="仿宋_GB2312" w:cs="Times New Roman"/>
          <w:sz w:val="32"/>
          <w:szCs w:val="24"/>
          <w:lang w:val="en-US" w:eastAsia="zh-CN"/>
        </w:rPr>
      </w:pPr>
      <w:r>
        <w:rPr>
          <w:rFonts w:hint="eastAsia" w:ascii="仿宋_GB2312" w:hAnsi="Times New Roman" w:eastAsia="仿宋_GB2312" w:cs="Times New Roman"/>
          <w:sz w:val="32"/>
          <w:szCs w:val="24"/>
        </w:rPr>
        <w:t>二、机构设置</w:t>
      </w:r>
      <w:r>
        <w:rPr>
          <w:rFonts w:hint="eastAsia" w:ascii="仿宋_GB2312" w:hAnsi="Times New Roman" w:eastAsia="仿宋_GB2312" w:cs="Times New Roman"/>
          <w:sz w:val="32"/>
          <w:szCs w:val="24"/>
          <w:lang w:eastAsia="zh-CN"/>
        </w:rPr>
        <w:t>……………………………………………</w:t>
      </w:r>
      <w:r>
        <w:rPr>
          <w:rFonts w:hint="eastAsia" w:ascii="仿宋_GB2312" w:hAnsi="Times New Roman" w:eastAsia="仿宋_GB2312" w:cs="Times New Roman"/>
          <w:sz w:val="32"/>
          <w:szCs w:val="24"/>
          <w:lang w:val="en-US" w:eastAsia="zh-CN"/>
        </w:rPr>
        <w:t>2</w:t>
      </w:r>
    </w:p>
    <w:p>
      <w:pPr>
        <w:spacing w:line="580" w:lineRule="exact"/>
        <w:ind w:firstLine="320" w:firstLineChars="100"/>
        <w:jc w:val="left"/>
        <w:rPr>
          <w:rFonts w:hint="default" w:ascii="黑体" w:hAnsi="黑体" w:eastAsia="黑体"/>
          <w:sz w:val="32"/>
          <w:szCs w:val="32"/>
          <w:lang w:val="en-US"/>
        </w:rPr>
      </w:pPr>
      <w:r>
        <w:rPr>
          <w:rFonts w:hint="eastAsia" w:ascii="黑体" w:hAnsi="黑体" w:eastAsia="黑体"/>
          <w:sz w:val="32"/>
          <w:szCs w:val="32"/>
        </w:rPr>
        <w:t>第二部分 201</w:t>
      </w:r>
      <w:r>
        <w:rPr>
          <w:rFonts w:hint="eastAsia" w:ascii="黑体" w:hAnsi="黑体" w:eastAsia="黑体"/>
          <w:sz w:val="32"/>
          <w:szCs w:val="32"/>
          <w:lang w:val="en-US" w:eastAsia="zh-CN"/>
        </w:rPr>
        <w:t>9</w:t>
      </w:r>
      <w:r>
        <w:rPr>
          <w:rFonts w:hint="eastAsia" w:ascii="黑体" w:hAnsi="黑体" w:eastAsia="黑体"/>
          <w:sz w:val="32"/>
          <w:szCs w:val="32"/>
        </w:rPr>
        <w:t>年度部门决算表</w:t>
      </w:r>
      <w:r>
        <w:rPr>
          <w:rFonts w:hint="eastAsia" w:ascii="仿宋_GB2312" w:hAnsi="Times New Roman" w:eastAsia="仿宋_GB2312" w:cs="Times New Roman"/>
          <w:sz w:val="32"/>
          <w:szCs w:val="24"/>
          <w:lang w:eastAsia="zh-CN"/>
        </w:rPr>
        <w:t>………………………</w:t>
      </w:r>
      <w:r>
        <w:rPr>
          <w:rFonts w:hint="eastAsia" w:ascii="仿宋_GB2312" w:hAnsi="Times New Roman" w:eastAsia="仿宋_GB2312" w:cs="Times New Roman"/>
          <w:sz w:val="32"/>
          <w:szCs w:val="24"/>
          <w:lang w:val="en-US" w:eastAsia="zh-CN"/>
        </w:rPr>
        <w:t xml:space="preserve">  3</w:t>
      </w:r>
    </w:p>
    <w:p>
      <w:pPr>
        <w:spacing w:line="580" w:lineRule="exact"/>
        <w:ind w:firstLine="640" w:firstLineChars="200"/>
        <w:rPr>
          <w:rFonts w:hint="default" w:ascii="仿宋_GB2312" w:hAnsi="Times New Roman" w:eastAsia="仿宋_GB2312" w:cs="Times New Roman"/>
          <w:sz w:val="32"/>
          <w:szCs w:val="24"/>
          <w:lang w:val="en-US"/>
        </w:rPr>
      </w:pPr>
      <w:r>
        <w:rPr>
          <w:rFonts w:hint="eastAsia" w:ascii="仿宋_GB2312" w:hAnsi="Times New Roman" w:eastAsia="仿宋_GB2312" w:cs="Times New Roman"/>
          <w:sz w:val="32"/>
          <w:szCs w:val="24"/>
        </w:rPr>
        <w:t>一、收入支出决算总表</w:t>
      </w:r>
      <w:r>
        <w:rPr>
          <w:rFonts w:hint="eastAsia" w:ascii="仿宋_GB2312" w:hAnsi="Times New Roman" w:eastAsia="仿宋_GB2312" w:cs="Times New Roman"/>
          <w:sz w:val="32"/>
          <w:szCs w:val="24"/>
          <w:lang w:eastAsia="zh-CN"/>
        </w:rPr>
        <w:t>…………………………………</w:t>
      </w:r>
      <w:r>
        <w:rPr>
          <w:rFonts w:hint="eastAsia" w:ascii="仿宋_GB2312" w:hAnsi="Times New Roman" w:eastAsia="仿宋_GB2312" w:cs="Times New Roman"/>
          <w:sz w:val="32"/>
          <w:szCs w:val="24"/>
          <w:lang w:val="en-US" w:eastAsia="zh-CN"/>
        </w:rPr>
        <w:t>4</w:t>
      </w:r>
    </w:p>
    <w:p>
      <w:pPr>
        <w:spacing w:line="580" w:lineRule="exact"/>
        <w:ind w:firstLine="640" w:firstLineChars="200"/>
        <w:rPr>
          <w:rFonts w:hint="default" w:ascii="仿宋_GB2312" w:hAnsi="Times New Roman" w:eastAsia="仿宋_GB2312" w:cs="Times New Roman"/>
          <w:sz w:val="32"/>
          <w:szCs w:val="24"/>
          <w:lang w:val="en-US"/>
        </w:rPr>
      </w:pPr>
      <w:r>
        <w:rPr>
          <w:rFonts w:hint="eastAsia" w:ascii="仿宋_GB2312" w:hAnsi="Times New Roman" w:eastAsia="仿宋_GB2312" w:cs="Times New Roman"/>
          <w:sz w:val="32"/>
          <w:szCs w:val="24"/>
        </w:rPr>
        <w:t>二、收入决算表</w:t>
      </w:r>
      <w:r>
        <w:rPr>
          <w:rFonts w:hint="eastAsia" w:ascii="仿宋_GB2312" w:hAnsi="Times New Roman" w:eastAsia="仿宋_GB2312" w:cs="Times New Roman"/>
          <w:sz w:val="32"/>
          <w:szCs w:val="24"/>
          <w:lang w:eastAsia="zh-CN"/>
        </w:rPr>
        <w:t>…………………………………………</w:t>
      </w:r>
      <w:r>
        <w:rPr>
          <w:rFonts w:hint="eastAsia" w:ascii="仿宋_GB2312" w:hAnsi="Times New Roman" w:eastAsia="仿宋_GB2312" w:cs="Times New Roman"/>
          <w:sz w:val="32"/>
          <w:szCs w:val="24"/>
          <w:lang w:val="en-US" w:eastAsia="zh-CN"/>
        </w:rPr>
        <w:t>5</w:t>
      </w:r>
    </w:p>
    <w:p>
      <w:pPr>
        <w:spacing w:line="580" w:lineRule="exact"/>
        <w:ind w:firstLine="640" w:firstLineChars="200"/>
        <w:rPr>
          <w:rFonts w:hint="default" w:ascii="仿宋_GB2312" w:hAnsi="Times New Roman" w:eastAsia="仿宋_GB2312" w:cs="Times New Roman"/>
          <w:sz w:val="32"/>
          <w:szCs w:val="24"/>
          <w:lang w:val="en-US"/>
        </w:rPr>
      </w:pPr>
      <w:r>
        <w:rPr>
          <w:rFonts w:hint="eastAsia" w:ascii="仿宋_GB2312" w:hAnsi="Times New Roman" w:eastAsia="仿宋_GB2312" w:cs="Times New Roman"/>
          <w:sz w:val="32"/>
          <w:szCs w:val="24"/>
        </w:rPr>
        <w:t>三、支出决算表</w:t>
      </w:r>
      <w:r>
        <w:rPr>
          <w:rFonts w:hint="eastAsia" w:ascii="仿宋_GB2312" w:hAnsi="Times New Roman" w:eastAsia="仿宋_GB2312" w:cs="Times New Roman"/>
          <w:sz w:val="32"/>
          <w:szCs w:val="24"/>
          <w:lang w:eastAsia="zh-CN"/>
        </w:rPr>
        <w:t>…………………………………………</w:t>
      </w:r>
      <w:r>
        <w:rPr>
          <w:rFonts w:hint="eastAsia" w:ascii="仿宋_GB2312" w:hAnsi="Times New Roman" w:eastAsia="仿宋_GB2312" w:cs="Times New Roman"/>
          <w:sz w:val="32"/>
          <w:szCs w:val="24"/>
          <w:lang w:val="en-US" w:eastAsia="zh-CN"/>
        </w:rPr>
        <w:t>6</w:t>
      </w:r>
    </w:p>
    <w:p>
      <w:pPr>
        <w:spacing w:line="580" w:lineRule="exact"/>
        <w:ind w:firstLine="640" w:firstLineChars="200"/>
        <w:rPr>
          <w:rFonts w:hint="default" w:ascii="仿宋_GB2312" w:hAnsi="Times New Roman" w:eastAsia="仿宋_GB2312" w:cs="Times New Roman"/>
          <w:sz w:val="32"/>
          <w:szCs w:val="24"/>
          <w:lang w:val="en-US"/>
        </w:rPr>
      </w:pPr>
      <w:r>
        <w:rPr>
          <w:rFonts w:hint="eastAsia" w:ascii="仿宋_GB2312" w:hAnsi="Times New Roman" w:eastAsia="仿宋_GB2312" w:cs="Times New Roman"/>
          <w:sz w:val="32"/>
          <w:szCs w:val="24"/>
        </w:rPr>
        <w:t>四、财政拨款收入支出决算总表</w:t>
      </w:r>
      <w:r>
        <w:rPr>
          <w:rFonts w:hint="eastAsia" w:ascii="仿宋_GB2312" w:hAnsi="Times New Roman" w:eastAsia="仿宋_GB2312" w:cs="Times New Roman"/>
          <w:sz w:val="32"/>
          <w:szCs w:val="24"/>
          <w:lang w:eastAsia="zh-CN"/>
        </w:rPr>
        <w:t>………………………</w:t>
      </w:r>
      <w:r>
        <w:rPr>
          <w:rFonts w:hint="eastAsia" w:ascii="仿宋_GB2312" w:hAnsi="Times New Roman" w:eastAsia="仿宋_GB2312" w:cs="Times New Roman"/>
          <w:sz w:val="32"/>
          <w:szCs w:val="24"/>
          <w:lang w:val="en-US" w:eastAsia="zh-CN"/>
        </w:rPr>
        <w:t>7</w:t>
      </w:r>
    </w:p>
    <w:p>
      <w:pPr>
        <w:spacing w:line="580" w:lineRule="exact"/>
        <w:ind w:firstLine="640" w:firstLineChars="200"/>
        <w:rPr>
          <w:rFonts w:hint="default" w:ascii="仿宋_GB2312" w:hAnsi="Times New Roman" w:eastAsia="仿宋_GB2312" w:cs="Times New Roman"/>
          <w:sz w:val="32"/>
          <w:szCs w:val="24"/>
          <w:lang w:val="en-US"/>
        </w:rPr>
      </w:pPr>
      <w:r>
        <w:rPr>
          <w:rFonts w:hint="eastAsia" w:ascii="仿宋_GB2312" w:hAnsi="Times New Roman" w:eastAsia="仿宋_GB2312" w:cs="Times New Roman"/>
          <w:sz w:val="32"/>
          <w:szCs w:val="24"/>
        </w:rPr>
        <w:t>五、一般公共预算财政拨款支出决算表</w:t>
      </w:r>
      <w:r>
        <w:rPr>
          <w:rFonts w:hint="eastAsia" w:ascii="仿宋_GB2312" w:hAnsi="Times New Roman" w:eastAsia="仿宋_GB2312" w:cs="Times New Roman"/>
          <w:sz w:val="32"/>
          <w:szCs w:val="24"/>
          <w:lang w:eastAsia="zh-CN"/>
        </w:rPr>
        <w:t>………………</w:t>
      </w:r>
      <w:r>
        <w:rPr>
          <w:rFonts w:hint="eastAsia" w:ascii="仿宋_GB2312" w:hAnsi="Times New Roman" w:eastAsia="仿宋_GB2312" w:cs="Times New Roman"/>
          <w:sz w:val="32"/>
          <w:szCs w:val="24"/>
          <w:lang w:val="en-US" w:eastAsia="zh-CN"/>
        </w:rPr>
        <w:t>8</w:t>
      </w:r>
    </w:p>
    <w:p>
      <w:pPr>
        <w:spacing w:line="580" w:lineRule="exact"/>
        <w:ind w:firstLine="640" w:firstLineChars="200"/>
        <w:rPr>
          <w:rFonts w:hint="default" w:ascii="仿宋_GB2312" w:hAnsi="Times New Roman" w:eastAsia="仿宋_GB2312" w:cs="Times New Roman"/>
          <w:sz w:val="32"/>
          <w:szCs w:val="24"/>
          <w:lang w:val="en-US"/>
        </w:rPr>
      </w:pPr>
      <w:r>
        <w:rPr>
          <w:rFonts w:hint="eastAsia" w:ascii="仿宋_GB2312" w:hAnsi="Times New Roman" w:eastAsia="仿宋_GB2312" w:cs="Times New Roman"/>
          <w:sz w:val="32"/>
          <w:szCs w:val="24"/>
        </w:rPr>
        <w:t>六、一般公共预算财政拨款基本支出决算表</w:t>
      </w:r>
      <w:r>
        <w:rPr>
          <w:rFonts w:hint="eastAsia" w:ascii="仿宋_GB2312" w:hAnsi="Times New Roman" w:eastAsia="仿宋_GB2312" w:cs="Times New Roman"/>
          <w:sz w:val="32"/>
          <w:szCs w:val="24"/>
          <w:lang w:eastAsia="zh-CN"/>
        </w:rPr>
        <w:t>…………</w:t>
      </w:r>
      <w:r>
        <w:rPr>
          <w:rFonts w:hint="eastAsia" w:ascii="仿宋_GB2312" w:hAnsi="Times New Roman" w:eastAsia="仿宋_GB2312" w:cs="Times New Roman"/>
          <w:sz w:val="32"/>
          <w:szCs w:val="24"/>
          <w:lang w:val="en-US" w:eastAsia="zh-CN"/>
        </w:rPr>
        <w:t>9</w:t>
      </w:r>
    </w:p>
    <w:p>
      <w:pPr>
        <w:spacing w:line="580" w:lineRule="exact"/>
        <w:ind w:firstLine="640" w:firstLineChars="200"/>
        <w:rPr>
          <w:rFonts w:hint="default" w:ascii="仿宋_GB2312" w:hAnsi="Times New Roman" w:eastAsia="仿宋_GB2312" w:cs="Times New Roman"/>
          <w:sz w:val="32"/>
          <w:szCs w:val="24"/>
          <w:lang w:val="en-US"/>
        </w:rPr>
      </w:pPr>
      <w:r>
        <w:rPr>
          <w:rFonts w:hint="eastAsia" w:ascii="仿宋_GB2312" w:hAnsi="Times New Roman" w:eastAsia="仿宋_GB2312" w:cs="Times New Roman"/>
          <w:sz w:val="32"/>
          <w:szCs w:val="24"/>
        </w:rPr>
        <w:t>七、一般公共预算财政拨款“三公”经费支出决算表</w:t>
      </w:r>
      <w:r>
        <w:rPr>
          <w:rFonts w:hint="eastAsia" w:ascii="仿宋_GB2312" w:hAnsi="Times New Roman" w:eastAsia="仿宋_GB2312" w:cs="Times New Roman"/>
          <w:sz w:val="32"/>
          <w:szCs w:val="24"/>
          <w:lang w:val="en-US" w:eastAsia="zh-CN"/>
        </w:rPr>
        <w:t>10</w:t>
      </w:r>
    </w:p>
    <w:p>
      <w:pPr>
        <w:spacing w:line="580" w:lineRule="exact"/>
        <w:ind w:firstLine="640" w:firstLineChars="200"/>
        <w:rPr>
          <w:rFonts w:hint="default" w:ascii="仿宋_GB2312" w:hAnsi="Times New Roman" w:eastAsia="仿宋_GB2312" w:cs="Times New Roman"/>
          <w:sz w:val="32"/>
          <w:szCs w:val="24"/>
          <w:lang w:val="en-US"/>
        </w:rPr>
      </w:pPr>
      <w:r>
        <w:rPr>
          <w:rFonts w:hint="eastAsia" w:ascii="仿宋_GB2312" w:hAnsi="Times New Roman" w:eastAsia="仿宋_GB2312" w:cs="Times New Roman"/>
          <w:sz w:val="32"/>
          <w:szCs w:val="24"/>
        </w:rPr>
        <w:t>八、政府性基金预算财政拨款收入支出决算表</w:t>
      </w:r>
      <w:r>
        <w:rPr>
          <w:rFonts w:hint="eastAsia" w:ascii="仿宋_GB2312" w:hAnsi="Times New Roman" w:eastAsia="仿宋_GB2312" w:cs="Times New Roman"/>
          <w:sz w:val="32"/>
          <w:szCs w:val="24"/>
          <w:lang w:eastAsia="zh-CN"/>
        </w:rPr>
        <w:t>………</w:t>
      </w:r>
      <w:r>
        <w:rPr>
          <w:rFonts w:hint="eastAsia" w:ascii="仿宋_GB2312" w:hAnsi="Times New Roman" w:eastAsia="仿宋_GB2312" w:cs="Times New Roman"/>
          <w:sz w:val="32"/>
          <w:szCs w:val="24"/>
          <w:lang w:val="en-US" w:eastAsia="zh-CN"/>
        </w:rPr>
        <w:t>11</w:t>
      </w:r>
    </w:p>
    <w:p>
      <w:pPr>
        <w:spacing w:line="580" w:lineRule="exact"/>
        <w:rPr>
          <w:rFonts w:hint="default" w:ascii="仿宋_GB2312" w:hAnsi="Times New Roman" w:eastAsia="仿宋_GB2312" w:cs="Times New Roman"/>
          <w:sz w:val="32"/>
          <w:szCs w:val="24"/>
          <w:lang w:val="en-US"/>
        </w:rPr>
      </w:pPr>
      <w:r>
        <w:rPr>
          <w:rFonts w:hint="eastAsia" w:ascii="黑体" w:hAnsi="黑体" w:eastAsia="黑体"/>
          <w:sz w:val="32"/>
          <w:szCs w:val="32"/>
        </w:rPr>
        <w:t>第三部分 201</w:t>
      </w:r>
      <w:r>
        <w:rPr>
          <w:rFonts w:hint="eastAsia" w:ascii="黑体" w:hAnsi="黑体" w:eastAsia="黑体"/>
          <w:sz w:val="32"/>
          <w:szCs w:val="32"/>
          <w:lang w:val="en-US" w:eastAsia="zh-CN"/>
        </w:rPr>
        <w:t>9</w:t>
      </w:r>
      <w:r>
        <w:rPr>
          <w:rFonts w:hint="eastAsia" w:ascii="黑体" w:hAnsi="黑体" w:eastAsia="黑体"/>
          <w:sz w:val="32"/>
          <w:szCs w:val="32"/>
        </w:rPr>
        <w:t>年度部门决算情况和重要事项说明</w:t>
      </w:r>
      <w:r>
        <w:rPr>
          <w:rFonts w:hint="eastAsia" w:ascii="仿宋_GB2312" w:hAnsi="Times New Roman" w:eastAsia="仿宋_GB2312" w:cs="Times New Roman"/>
          <w:sz w:val="32"/>
          <w:szCs w:val="24"/>
          <w:lang w:eastAsia="zh-CN"/>
        </w:rPr>
        <w:t>……</w:t>
      </w:r>
      <w:r>
        <w:rPr>
          <w:rFonts w:hint="eastAsia" w:ascii="仿宋_GB2312" w:hAnsi="Times New Roman" w:eastAsia="仿宋_GB2312" w:cs="Times New Roman"/>
          <w:sz w:val="32"/>
          <w:szCs w:val="24"/>
          <w:lang w:val="en-US" w:eastAsia="zh-CN"/>
        </w:rPr>
        <w:t xml:space="preserve">  12</w:t>
      </w:r>
    </w:p>
    <w:p>
      <w:pPr>
        <w:spacing w:line="580" w:lineRule="exact"/>
        <w:ind w:firstLine="640" w:firstLineChars="200"/>
        <w:rPr>
          <w:rFonts w:hint="default" w:ascii="仿宋_GB2312" w:hAnsi="Times New Roman" w:eastAsia="仿宋_GB2312" w:cs="Times New Roman"/>
          <w:sz w:val="32"/>
          <w:szCs w:val="24"/>
          <w:lang w:val="en-US"/>
        </w:rPr>
      </w:pPr>
      <w:r>
        <w:rPr>
          <w:rFonts w:hint="eastAsia" w:ascii="仿宋_GB2312" w:hAnsi="Times New Roman" w:eastAsia="仿宋_GB2312" w:cs="Times New Roman"/>
          <w:sz w:val="32"/>
          <w:szCs w:val="24"/>
        </w:rPr>
        <w:t>一、收入支出决算总体情况说明</w:t>
      </w:r>
      <w:r>
        <w:rPr>
          <w:rFonts w:hint="eastAsia" w:ascii="仿宋_GB2312" w:hAnsi="Times New Roman" w:eastAsia="仿宋_GB2312" w:cs="Times New Roman"/>
          <w:sz w:val="32"/>
          <w:szCs w:val="24"/>
          <w:lang w:eastAsia="zh-CN"/>
        </w:rPr>
        <w:t>……………………</w:t>
      </w:r>
      <w:r>
        <w:rPr>
          <w:rFonts w:hint="eastAsia" w:ascii="仿宋_GB2312" w:hAnsi="Times New Roman" w:eastAsia="仿宋_GB2312" w:cs="Times New Roman"/>
          <w:sz w:val="32"/>
          <w:szCs w:val="24"/>
          <w:lang w:val="en-US" w:eastAsia="zh-CN"/>
        </w:rPr>
        <w:t xml:space="preserve">  13</w:t>
      </w:r>
    </w:p>
    <w:p>
      <w:pPr>
        <w:spacing w:line="580" w:lineRule="exact"/>
        <w:ind w:firstLine="640" w:firstLineChars="200"/>
        <w:rPr>
          <w:rFonts w:hint="default" w:ascii="仿宋_GB2312" w:hAnsi="Times New Roman" w:eastAsia="仿宋_GB2312" w:cs="Times New Roman"/>
          <w:sz w:val="32"/>
          <w:szCs w:val="24"/>
          <w:lang w:val="en-US"/>
        </w:rPr>
      </w:pPr>
      <w:r>
        <w:rPr>
          <w:rFonts w:hint="eastAsia" w:ascii="仿宋_GB2312" w:hAnsi="Times New Roman" w:eastAsia="仿宋_GB2312" w:cs="Times New Roman"/>
          <w:sz w:val="32"/>
          <w:szCs w:val="24"/>
        </w:rPr>
        <w:t>二、收入决算情况说明</w:t>
      </w:r>
      <w:r>
        <w:rPr>
          <w:rFonts w:hint="eastAsia" w:ascii="仿宋_GB2312" w:hAnsi="Times New Roman" w:eastAsia="仿宋_GB2312" w:cs="Times New Roman"/>
          <w:sz w:val="32"/>
          <w:szCs w:val="24"/>
          <w:lang w:eastAsia="zh-CN"/>
        </w:rPr>
        <w:t>………………………………</w:t>
      </w:r>
      <w:r>
        <w:rPr>
          <w:rFonts w:hint="eastAsia" w:ascii="仿宋_GB2312" w:hAnsi="Times New Roman" w:eastAsia="仿宋_GB2312" w:cs="Times New Roman"/>
          <w:sz w:val="32"/>
          <w:szCs w:val="24"/>
          <w:lang w:val="en-US" w:eastAsia="zh-CN"/>
        </w:rPr>
        <w:t xml:space="preserve">  13</w:t>
      </w:r>
    </w:p>
    <w:p>
      <w:pPr>
        <w:spacing w:line="580" w:lineRule="exact"/>
        <w:ind w:firstLine="640" w:firstLineChars="200"/>
        <w:rPr>
          <w:rFonts w:hint="default" w:ascii="仿宋_GB2312" w:hAnsi="Times New Roman" w:eastAsia="仿宋_GB2312" w:cs="Times New Roman"/>
          <w:sz w:val="32"/>
          <w:szCs w:val="24"/>
          <w:lang w:val="en-US"/>
        </w:rPr>
      </w:pPr>
      <w:r>
        <w:rPr>
          <w:rFonts w:hint="eastAsia" w:ascii="仿宋_GB2312" w:hAnsi="Times New Roman" w:eastAsia="仿宋_GB2312" w:cs="Times New Roman"/>
          <w:sz w:val="32"/>
          <w:szCs w:val="24"/>
        </w:rPr>
        <w:t>三、支出决算情况说明</w:t>
      </w:r>
      <w:r>
        <w:rPr>
          <w:rFonts w:hint="eastAsia" w:ascii="仿宋_GB2312" w:hAnsi="Times New Roman" w:eastAsia="仿宋_GB2312" w:cs="Times New Roman"/>
          <w:sz w:val="32"/>
          <w:szCs w:val="24"/>
          <w:lang w:eastAsia="zh-CN"/>
        </w:rPr>
        <w:t>………………………………</w:t>
      </w:r>
      <w:r>
        <w:rPr>
          <w:rFonts w:hint="eastAsia" w:ascii="仿宋_GB2312" w:hAnsi="Times New Roman" w:eastAsia="仿宋_GB2312" w:cs="Times New Roman"/>
          <w:sz w:val="32"/>
          <w:szCs w:val="24"/>
          <w:lang w:val="en-US" w:eastAsia="zh-CN"/>
        </w:rPr>
        <w:t xml:space="preserve">  14</w:t>
      </w:r>
    </w:p>
    <w:p>
      <w:pPr>
        <w:spacing w:line="580" w:lineRule="exact"/>
        <w:ind w:firstLine="640" w:firstLineChars="200"/>
        <w:rPr>
          <w:rFonts w:hint="default" w:ascii="仿宋_GB2312" w:hAnsi="Times New Roman" w:eastAsia="仿宋_GB2312" w:cs="Times New Roman"/>
          <w:sz w:val="32"/>
          <w:szCs w:val="24"/>
          <w:lang w:val="en-US"/>
        </w:rPr>
      </w:pPr>
      <w:r>
        <w:rPr>
          <w:rFonts w:hint="eastAsia" w:ascii="仿宋_GB2312" w:hAnsi="Times New Roman" w:eastAsia="仿宋_GB2312" w:cs="Times New Roman"/>
          <w:sz w:val="32"/>
          <w:szCs w:val="24"/>
        </w:rPr>
        <w:t>四、财政拨款收入支出决算总体情况说明</w:t>
      </w:r>
      <w:r>
        <w:rPr>
          <w:rFonts w:hint="eastAsia" w:ascii="仿宋_GB2312" w:hAnsi="Times New Roman" w:eastAsia="仿宋_GB2312" w:cs="Times New Roman"/>
          <w:sz w:val="32"/>
          <w:szCs w:val="24"/>
          <w:lang w:eastAsia="zh-CN"/>
        </w:rPr>
        <w:t>…………</w:t>
      </w:r>
      <w:r>
        <w:rPr>
          <w:rFonts w:hint="eastAsia" w:ascii="仿宋_GB2312" w:hAnsi="Times New Roman" w:eastAsia="仿宋_GB2312" w:cs="Times New Roman"/>
          <w:sz w:val="32"/>
          <w:szCs w:val="24"/>
          <w:lang w:val="en-US" w:eastAsia="zh-CN"/>
        </w:rPr>
        <w:t xml:space="preserve">  14</w:t>
      </w:r>
    </w:p>
    <w:p>
      <w:pPr>
        <w:spacing w:line="580" w:lineRule="exact"/>
        <w:ind w:firstLine="640" w:firstLineChars="200"/>
        <w:rPr>
          <w:rFonts w:hint="default" w:ascii="仿宋_GB2312" w:hAnsi="Times New Roman" w:eastAsia="仿宋_GB2312" w:cs="Times New Roman"/>
          <w:sz w:val="32"/>
          <w:szCs w:val="24"/>
          <w:lang w:val="en-US"/>
        </w:rPr>
      </w:pPr>
      <w:r>
        <w:rPr>
          <w:rFonts w:hint="eastAsia" w:ascii="仿宋_GB2312" w:hAnsi="Times New Roman" w:eastAsia="仿宋_GB2312" w:cs="Times New Roman"/>
          <w:sz w:val="32"/>
          <w:szCs w:val="24"/>
        </w:rPr>
        <w:t>五、一般公共预算财政拨款支出决算情况说明</w:t>
      </w:r>
      <w:r>
        <w:rPr>
          <w:rFonts w:hint="eastAsia" w:ascii="仿宋_GB2312" w:hAnsi="Times New Roman" w:eastAsia="仿宋_GB2312" w:cs="Times New Roman"/>
          <w:sz w:val="32"/>
          <w:szCs w:val="24"/>
          <w:lang w:eastAsia="zh-CN"/>
        </w:rPr>
        <w:t>……</w:t>
      </w:r>
      <w:r>
        <w:rPr>
          <w:rFonts w:hint="eastAsia" w:ascii="仿宋_GB2312" w:hAnsi="Times New Roman" w:eastAsia="仿宋_GB2312" w:cs="Times New Roman"/>
          <w:sz w:val="32"/>
          <w:szCs w:val="24"/>
          <w:lang w:val="en-US" w:eastAsia="zh-CN"/>
        </w:rPr>
        <w:t xml:space="preserve">  15</w:t>
      </w:r>
    </w:p>
    <w:p>
      <w:pPr>
        <w:spacing w:line="580" w:lineRule="exact"/>
        <w:ind w:firstLine="640" w:firstLineChars="200"/>
        <w:rPr>
          <w:rFonts w:hint="default" w:ascii="仿宋_GB2312" w:hAnsi="Times New Roman" w:eastAsia="仿宋_GB2312" w:cs="Times New Roman"/>
          <w:sz w:val="32"/>
          <w:szCs w:val="24"/>
          <w:lang w:val="en-US" w:eastAsia="zh-CN"/>
        </w:rPr>
      </w:pPr>
      <w:r>
        <w:rPr>
          <w:rFonts w:hint="eastAsia" w:ascii="仿宋_GB2312" w:hAnsi="Times New Roman" w:eastAsia="仿宋_GB2312" w:cs="Times New Roman"/>
          <w:sz w:val="32"/>
          <w:szCs w:val="24"/>
        </w:rPr>
        <w:t>六、一般公共预算财政拨款基本支出决算情况说明</w:t>
      </w:r>
      <w:r>
        <w:rPr>
          <w:rFonts w:hint="eastAsia" w:ascii="仿宋_GB2312" w:hAnsi="Times New Roman" w:eastAsia="仿宋_GB2312" w:cs="Times New Roman"/>
          <w:sz w:val="32"/>
          <w:szCs w:val="24"/>
          <w:lang w:val="en-US" w:eastAsia="zh-CN"/>
        </w:rPr>
        <w:t xml:space="preserve">  16</w:t>
      </w:r>
    </w:p>
    <w:p>
      <w:pPr>
        <w:spacing w:line="580" w:lineRule="exact"/>
        <w:ind w:firstLine="640" w:firstLineChars="200"/>
        <w:rPr>
          <w:rFonts w:hint="default" w:ascii="仿宋_GB2312" w:hAnsi="Times New Roman" w:eastAsia="仿宋_GB2312" w:cs="Times New Roman"/>
          <w:sz w:val="32"/>
          <w:szCs w:val="24"/>
          <w:lang w:val="en-US"/>
        </w:rPr>
      </w:pPr>
      <w:r>
        <w:rPr>
          <w:rFonts w:hint="eastAsia" w:ascii="仿宋_GB2312" w:hAnsi="Times New Roman" w:eastAsia="仿宋_GB2312" w:cs="Times New Roman"/>
          <w:sz w:val="32"/>
          <w:szCs w:val="24"/>
        </w:rPr>
        <w:t>七、一般公共预算财政拨款“三公”经费支出决算情况说明</w:t>
      </w:r>
      <w:r>
        <w:rPr>
          <w:rFonts w:hint="eastAsia" w:ascii="仿宋_GB2312" w:hAnsi="Times New Roman" w:eastAsia="仿宋_GB2312" w:cs="Times New Roman"/>
          <w:sz w:val="32"/>
          <w:szCs w:val="24"/>
          <w:lang w:eastAsia="zh-CN"/>
        </w:rPr>
        <w:t>……………………………………………………</w:t>
      </w:r>
      <w:r>
        <w:rPr>
          <w:rFonts w:hint="eastAsia" w:ascii="仿宋_GB2312" w:hAnsi="Times New Roman" w:eastAsia="仿宋_GB2312" w:cs="Times New Roman"/>
          <w:sz w:val="32"/>
          <w:szCs w:val="24"/>
          <w:lang w:val="en-US" w:eastAsia="zh-CN"/>
        </w:rPr>
        <w:t xml:space="preserve">     17</w:t>
      </w:r>
    </w:p>
    <w:p>
      <w:pPr>
        <w:spacing w:line="580" w:lineRule="exact"/>
        <w:ind w:firstLine="640" w:firstLineChars="200"/>
        <w:rPr>
          <w:rFonts w:hint="default" w:ascii="仿宋_GB2312" w:hAnsi="Times New Roman" w:eastAsia="仿宋_GB2312" w:cs="Times New Roman"/>
          <w:sz w:val="32"/>
          <w:szCs w:val="24"/>
          <w:lang w:val="en-US"/>
        </w:rPr>
      </w:pPr>
      <w:r>
        <w:rPr>
          <w:rFonts w:hint="eastAsia" w:ascii="仿宋_GB2312" w:hAnsi="Times New Roman" w:eastAsia="仿宋_GB2312" w:cs="Times New Roman"/>
          <w:sz w:val="32"/>
          <w:szCs w:val="24"/>
        </w:rPr>
        <w:t>八、政府性基金预算财政拨款收入支出决算情况说明</w:t>
      </w:r>
      <w:r>
        <w:rPr>
          <w:rFonts w:hint="eastAsia" w:ascii="仿宋_GB2312" w:hAnsi="Times New Roman" w:eastAsia="仿宋_GB2312" w:cs="Times New Roman"/>
          <w:sz w:val="32"/>
          <w:szCs w:val="24"/>
          <w:lang w:eastAsia="zh-CN"/>
        </w:rPr>
        <w:t>……………………………………………………………</w:t>
      </w:r>
      <w:r>
        <w:rPr>
          <w:rFonts w:hint="eastAsia" w:ascii="仿宋_GB2312" w:hAnsi="Times New Roman" w:eastAsia="仿宋_GB2312" w:cs="Times New Roman"/>
          <w:sz w:val="32"/>
          <w:szCs w:val="24"/>
          <w:lang w:val="en-US" w:eastAsia="zh-CN"/>
        </w:rPr>
        <w:t xml:space="preserve"> 17</w:t>
      </w:r>
    </w:p>
    <w:p>
      <w:pPr>
        <w:spacing w:line="580" w:lineRule="exact"/>
        <w:ind w:firstLine="640" w:firstLineChars="200"/>
        <w:rPr>
          <w:rFonts w:hint="default" w:ascii="仿宋_GB2312" w:hAnsi="Times New Roman" w:eastAsia="仿宋_GB2312" w:cs="Times New Roman"/>
          <w:sz w:val="32"/>
          <w:szCs w:val="24"/>
          <w:lang w:val="en-US"/>
        </w:rPr>
      </w:pPr>
      <w:r>
        <w:rPr>
          <w:rFonts w:hint="eastAsia" w:ascii="仿宋_GB2312" w:hAnsi="Times New Roman" w:eastAsia="仿宋_GB2312" w:cs="Times New Roman"/>
          <w:sz w:val="32"/>
          <w:szCs w:val="24"/>
        </w:rPr>
        <w:t>九、重要事项情况说明</w:t>
      </w:r>
      <w:r>
        <w:rPr>
          <w:rFonts w:hint="eastAsia" w:ascii="仿宋_GB2312" w:hAnsi="Times New Roman" w:eastAsia="仿宋_GB2312" w:cs="Times New Roman"/>
          <w:sz w:val="32"/>
          <w:szCs w:val="24"/>
          <w:lang w:eastAsia="zh-CN"/>
        </w:rPr>
        <w:t>………………………………</w:t>
      </w:r>
      <w:r>
        <w:rPr>
          <w:rFonts w:hint="eastAsia" w:ascii="仿宋_GB2312" w:hAnsi="Times New Roman" w:eastAsia="仿宋_GB2312" w:cs="Times New Roman"/>
          <w:sz w:val="32"/>
          <w:szCs w:val="24"/>
          <w:lang w:val="en-US" w:eastAsia="zh-CN"/>
        </w:rPr>
        <w:t xml:space="preserve"> 17</w:t>
      </w:r>
    </w:p>
    <w:p>
      <w:pPr>
        <w:spacing w:line="580" w:lineRule="exact"/>
        <w:ind w:firstLine="320" w:firstLineChars="100"/>
        <w:jc w:val="left"/>
        <w:rPr>
          <w:rFonts w:hint="default" w:ascii="黑体" w:hAnsi="黑体" w:eastAsia="黑体" w:cs="Times New Roman"/>
          <w:sz w:val="32"/>
          <w:szCs w:val="32"/>
          <w:lang w:val="en-US"/>
        </w:rPr>
      </w:pPr>
      <w:r>
        <w:rPr>
          <w:rFonts w:ascii="黑体" w:hAnsi="黑体" w:eastAsia="黑体" w:cs="Times New Roman"/>
          <w:sz w:val="32"/>
          <w:szCs w:val="32"/>
        </w:rPr>
        <w:t>第四部分 名词解释</w:t>
      </w:r>
      <w:r>
        <w:rPr>
          <w:rFonts w:hint="eastAsia" w:ascii="仿宋_GB2312" w:hAnsi="Times New Roman" w:eastAsia="仿宋_GB2312" w:cs="Times New Roman"/>
          <w:sz w:val="32"/>
          <w:szCs w:val="24"/>
          <w:lang w:eastAsia="zh-CN"/>
        </w:rPr>
        <w:t>………………………………………</w:t>
      </w:r>
      <w:r>
        <w:rPr>
          <w:rFonts w:hint="eastAsia" w:ascii="仿宋_GB2312" w:hAnsi="Times New Roman" w:eastAsia="仿宋_GB2312" w:cs="Times New Roman"/>
          <w:sz w:val="32"/>
          <w:szCs w:val="24"/>
          <w:lang w:val="en-US" w:eastAsia="zh-CN"/>
        </w:rPr>
        <w:t>19</w:t>
      </w:r>
    </w:p>
    <w:p>
      <w:pPr>
        <w:spacing w:line="580" w:lineRule="exact"/>
        <w:ind w:firstLine="320" w:firstLineChars="100"/>
        <w:jc w:val="left"/>
        <w:rPr>
          <w:rFonts w:hint="default" w:ascii="黑体" w:hAnsi="黑体" w:eastAsia="黑体" w:cs="Times New Roman"/>
          <w:sz w:val="32"/>
          <w:szCs w:val="32"/>
          <w:lang w:val="en-US" w:eastAsia="zh-CN"/>
        </w:rPr>
      </w:pPr>
      <w:r>
        <w:rPr>
          <w:rFonts w:hint="eastAsia" w:ascii="黑体" w:hAnsi="黑体" w:eastAsia="黑体" w:cs="Times New Roman"/>
          <w:sz w:val="32"/>
          <w:szCs w:val="32"/>
          <w:lang w:eastAsia="zh-CN"/>
        </w:rPr>
        <w:t>第五部分</w:t>
      </w:r>
      <w:r>
        <w:rPr>
          <w:rFonts w:hint="eastAsia" w:ascii="黑体" w:hAnsi="黑体" w:eastAsia="黑体" w:cs="Times New Roman"/>
          <w:sz w:val="32"/>
          <w:szCs w:val="32"/>
          <w:lang w:val="en-US" w:eastAsia="zh-CN"/>
        </w:rPr>
        <w:t xml:space="preserve"> 附件</w:t>
      </w:r>
      <w:r>
        <w:rPr>
          <w:rFonts w:hint="eastAsia" w:ascii="仿宋_GB2312" w:hAnsi="Times New Roman" w:eastAsia="仿宋_GB2312" w:cs="Times New Roman"/>
          <w:sz w:val="32"/>
          <w:szCs w:val="24"/>
          <w:lang w:eastAsia="zh-CN"/>
        </w:rPr>
        <w:t>……………………………………………</w:t>
      </w:r>
      <w:r>
        <w:rPr>
          <w:rFonts w:hint="eastAsia" w:ascii="仿宋_GB2312" w:hAnsi="Times New Roman" w:eastAsia="仿宋_GB2312" w:cs="Times New Roman"/>
          <w:sz w:val="32"/>
          <w:szCs w:val="24"/>
          <w:lang w:val="en-US" w:eastAsia="zh-CN"/>
        </w:rPr>
        <w:t>22</w:t>
      </w:r>
    </w:p>
    <w:p>
      <w:pPr>
        <w:spacing w:line="580" w:lineRule="exact"/>
        <w:ind w:left="1602" w:hanging="1602" w:hangingChars="445"/>
        <w:rPr>
          <w:rFonts w:ascii="黑体" w:eastAsia="黑体"/>
          <w:sz w:val="36"/>
          <w:szCs w:val="36"/>
        </w:rPr>
      </w:pPr>
    </w:p>
    <w:p>
      <w:pPr>
        <w:ind w:left="1609" w:leftChars="766"/>
        <w:rPr>
          <w:rFonts w:ascii="黑体" w:eastAsia="黑体"/>
          <w:sz w:val="36"/>
          <w:szCs w:val="36"/>
        </w:rPr>
      </w:pPr>
    </w:p>
    <w:p>
      <w:pPr>
        <w:rPr>
          <w:rFonts w:ascii="黑体" w:eastAsia="黑体"/>
          <w:b/>
          <w:sz w:val="36"/>
          <w:szCs w:val="36"/>
        </w:rPr>
      </w:pPr>
    </w:p>
    <w:p>
      <w:pPr>
        <w:rPr>
          <w:rFonts w:ascii="黑体" w:eastAsia="黑体"/>
          <w:b/>
          <w:sz w:val="36"/>
          <w:szCs w:val="36"/>
        </w:rPr>
      </w:pPr>
    </w:p>
    <w:p>
      <w:pPr>
        <w:rPr>
          <w:rFonts w:hint="eastAsia" w:ascii="方正小标宋简体" w:eastAsia="方正小标宋简体"/>
          <w:sz w:val="52"/>
          <w:szCs w:val="52"/>
        </w:rPr>
      </w:pPr>
    </w:p>
    <w:p>
      <w:pPr>
        <w:rPr>
          <w:rFonts w:hint="eastAsia" w:ascii="方正小标宋简体" w:eastAsia="方正小标宋简体"/>
          <w:sz w:val="52"/>
          <w:szCs w:val="52"/>
        </w:rPr>
      </w:pPr>
    </w:p>
    <w:p>
      <w:pPr>
        <w:rPr>
          <w:rFonts w:hint="eastAsia" w:ascii="方正小标宋简体" w:eastAsia="方正小标宋简体"/>
          <w:sz w:val="52"/>
          <w:szCs w:val="52"/>
        </w:rPr>
      </w:pPr>
    </w:p>
    <w:p>
      <w:pPr>
        <w:rPr>
          <w:rFonts w:hint="eastAsia" w:ascii="方正小标宋简体" w:eastAsia="方正小标宋简体"/>
          <w:sz w:val="52"/>
          <w:szCs w:val="52"/>
        </w:rPr>
      </w:pPr>
    </w:p>
    <w:p>
      <w:pPr>
        <w:rPr>
          <w:rFonts w:hint="eastAsia" w:ascii="方正小标宋简体" w:eastAsia="方正小标宋简体"/>
          <w:sz w:val="52"/>
          <w:szCs w:val="52"/>
        </w:rPr>
      </w:pPr>
    </w:p>
    <w:p>
      <w:pPr>
        <w:rPr>
          <w:rFonts w:hint="eastAsia" w:ascii="方正小标宋简体" w:eastAsia="方正小标宋简体"/>
          <w:sz w:val="52"/>
          <w:szCs w:val="52"/>
        </w:rPr>
      </w:pPr>
    </w:p>
    <w:p>
      <w:pPr>
        <w:rPr>
          <w:rFonts w:hint="eastAsia" w:ascii="方正小标宋简体" w:eastAsia="方正小标宋简体"/>
          <w:sz w:val="52"/>
          <w:szCs w:val="52"/>
        </w:rPr>
      </w:pPr>
    </w:p>
    <w:p>
      <w:pPr>
        <w:rPr>
          <w:rFonts w:hint="eastAsia" w:ascii="方正小标宋简体" w:eastAsia="方正小标宋简体"/>
          <w:sz w:val="52"/>
          <w:szCs w:val="52"/>
        </w:rPr>
      </w:pPr>
    </w:p>
    <w:p>
      <w:pPr>
        <w:rPr>
          <w:rFonts w:hint="eastAsia" w:ascii="方正小标宋简体" w:eastAsia="方正小标宋简体"/>
          <w:sz w:val="52"/>
          <w:szCs w:val="52"/>
        </w:rPr>
      </w:pPr>
    </w:p>
    <w:p>
      <w:pPr>
        <w:ind w:firstLine="540" w:firstLineChars="100"/>
        <w:rPr>
          <w:rFonts w:hint="eastAsia" w:ascii="方正小标宋简体" w:eastAsia="方正小标宋简体"/>
          <w:spacing w:val="60"/>
          <w:sz w:val="42"/>
          <w:lang w:eastAsia="zh-CN"/>
        </w:rPr>
        <w:sectPr>
          <w:footerReference r:id="rId5" w:type="default"/>
          <w:pgSz w:w="11906" w:h="16838"/>
          <w:pgMar w:top="1440" w:right="1800" w:bottom="1440" w:left="1800" w:header="851" w:footer="992" w:gutter="0"/>
          <w:pgNumType w:fmt="decimal" w:start="1"/>
          <w:cols w:space="425" w:num="1"/>
          <w:docGrid w:type="lines" w:linePitch="312" w:charSpace="0"/>
        </w:sectPr>
      </w:pPr>
    </w:p>
    <w:p>
      <w:pPr>
        <w:ind w:firstLine="540" w:firstLineChars="100"/>
        <w:rPr>
          <w:rFonts w:hint="eastAsia" w:ascii="方正小标宋简体" w:eastAsia="方正小标宋简体"/>
          <w:spacing w:val="60"/>
          <w:sz w:val="42"/>
          <w:lang w:eastAsia="zh-CN"/>
        </w:rPr>
      </w:pPr>
      <w:r>
        <w:rPr>
          <w:rFonts w:hint="eastAsia" w:ascii="方正小标宋简体" w:eastAsia="方正小标宋简体"/>
          <w:spacing w:val="60"/>
          <w:sz w:val="42"/>
          <w:lang w:eastAsia="zh-CN"/>
        </w:rPr>
        <w:t xml:space="preserve">第一部分 </w:t>
      </w:r>
    </w:p>
    <w:p>
      <w:pPr>
        <w:ind w:firstLine="540" w:firstLineChars="100"/>
        <w:rPr>
          <w:rFonts w:hint="eastAsia" w:ascii="方正小标宋简体" w:eastAsia="方正小标宋简体"/>
          <w:spacing w:val="60"/>
          <w:sz w:val="42"/>
          <w:lang w:eastAsia="zh-CN"/>
        </w:rPr>
      </w:pPr>
    </w:p>
    <w:p>
      <w:pPr>
        <w:ind w:firstLine="540" w:firstLineChars="100"/>
        <w:jc w:val="center"/>
        <w:rPr>
          <w:rFonts w:hint="eastAsia" w:ascii="方正小标宋简体" w:eastAsia="方正小标宋简体"/>
          <w:spacing w:val="60"/>
          <w:sz w:val="42"/>
          <w:lang w:eastAsia="zh-CN"/>
        </w:rPr>
      </w:pPr>
      <w:r>
        <w:rPr>
          <w:rFonts w:hint="eastAsia" w:ascii="方正小标宋简体" w:eastAsia="方正小标宋简体"/>
          <w:spacing w:val="60"/>
          <w:sz w:val="42"/>
          <w:lang w:eastAsia="zh-CN"/>
        </w:rPr>
        <w:t>部门概况</w:t>
      </w:r>
    </w:p>
    <w:p>
      <w:pPr>
        <w:rPr>
          <w:rFonts w:ascii="方正小标宋简体" w:eastAsia="方正小标宋简体"/>
          <w:b/>
          <w:sz w:val="36"/>
          <w:szCs w:val="36"/>
        </w:rPr>
      </w:pPr>
    </w:p>
    <w:p>
      <w:pPr>
        <w:rPr>
          <w:rFonts w:ascii="方正小标宋简体" w:eastAsia="方正小标宋简体"/>
          <w:b/>
          <w:sz w:val="36"/>
          <w:szCs w:val="36"/>
        </w:rPr>
      </w:pP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numPr>
          <w:ilvl w:val="0"/>
          <w:numId w:val="0"/>
        </w:numPr>
        <w:spacing w:line="580" w:lineRule="exact"/>
        <w:jc w:val="left"/>
        <w:rPr>
          <w:rFonts w:ascii="黑体" w:eastAsia="黑体"/>
          <w:sz w:val="32"/>
          <w:szCs w:val="32"/>
        </w:rPr>
      </w:pPr>
      <w:r>
        <w:rPr>
          <w:rFonts w:hint="eastAsia" w:ascii="黑体" w:eastAsia="黑体"/>
          <w:sz w:val="32"/>
          <w:szCs w:val="32"/>
          <w:lang w:eastAsia="zh-CN"/>
        </w:rPr>
        <w:t>一、</w:t>
      </w:r>
      <w:r>
        <w:rPr>
          <w:rFonts w:hint="eastAsia" w:ascii="黑体" w:eastAsia="黑体"/>
          <w:sz w:val="32"/>
          <w:szCs w:val="32"/>
        </w:rPr>
        <w:t>部门职责</w:t>
      </w:r>
    </w:p>
    <w:p>
      <w:pPr>
        <w:snapToGrid w:val="0"/>
        <w:spacing w:line="580" w:lineRule="exact"/>
        <w:ind w:firstLine="480" w:firstLineChars="200"/>
        <w:rPr>
          <w:rFonts w:ascii="黑体" w:eastAsia="黑体"/>
          <w:b/>
          <w:sz w:val="30"/>
          <w:szCs w:val="30"/>
        </w:rPr>
      </w:pPr>
      <w:r>
        <w:rPr>
          <w:rFonts w:hint="eastAsia" w:ascii="微软雅黑" w:hAnsi="微软雅黑" w:eastAsia="微软雅黑" w:cs="微软雅黑"/>
          <w:i w:val="0"/>
          <w:caps w:val="0"/>
          <w:color w:val="555555"/>
          <w:spacing w:val="0"/>
          <w:sz w:val="24"/>
          <w:szCs w:val="24"/>
          <w:shd w:val="clear" w:fill="FFFFFF"/>
        </w:rPr>
        <w:t>保障人民群众最基本的文化权益，大力发展社会主义先进文化，推动社会主义经济社会发展和社会主义和谐社会的建设；科学合理地使用图书经费，拟订文献资源建设计划书，兼顾纸质文献、电子文献和其他载体的文献采集，逐步建立能适应曲阜特色文化、科研需要，反映曲阜特点的馆藏体系。办理书刊资料的清点、剔旧、调拨工作，不断提高馆藏质量。利用图书、期刊、资料、报纸、图片、声像、电子文献等各种媒体，配合社会进行思想政治教育，宣传马列主义、毛泽东思想、邓小平理论、三个代表的重要思想、习近平书记重要讲话精神以及政府的政策法令。负责书刊资料和电子文献资源的整理和管理工作。合理组织馆藏，充分发挥文献资源的作用，努力改善服务态度，提高服务质量。根据科学研究的成果和课外阅读的需要，开展流通阅读和读者辅导工作。广泛开展国学教育和特色文化体验活动，传承国学精髓，实现传统文化教育与德育教育的有机结合。开展馆际互借、文献传递，国内国际资料交换工作。开展图书馆学、情报学的理论研究，提高工作人员的业务能力和管理水平。推进和实施现代化技术在图书馆的应用，不断提高图书管理和服务手段的现代化水平。</w:t>
      </w:r>
    </w:p>
    <w:p>
      <w:pPr>
        <w:numPr>
          <w:ilvl w:val="0"/>
          <w:numId w:val="0"/>
        </w:numPr>
        <w:spacing w:line="580" w:lineRule="exact"/>
        <w:rPr>
          <w:rFonts w:hint="eastAsia" w:ascii="黑体" w:eastAsia="黑体"/>
          <w:sz w:val="32"/>
          <w:szCs w:val="32"/>
        </w:rPr>
      </w:pPr>
      <w:r>
        <w:rPr>
          <w:rFonts w:hint="eastAsia" w:ascii="黑体" w:eastAsia="黑体"/>
          <w:sz w:val="32"/>
          <w:szCs w:val="32"/>
          <w:lang w:eastAsia="zh-CN"/>
        </w:rPr>
        <w:t>二、</w:t>
      </w:r>
      <w:r>
        <w:rPr>
          <w:rFonts w:hint="eastAsia" w:ascii="黑体" w:eastAsia="黑体"/>
          <w:sz w:val="32"/>
          <w:szCs w:val="32"/>
        </w:rPr>
        <w:t>机构设置</w:t>
      </w:r>
    </w:p>
    <w:p>
      <w:pPr>
        <w:snapToGrid w:val="0"/>
        <w:spacing w:line="580" w:lineRule="exact"/>
        <w:ind w:firstLine="480" w:firstLineChars="200"/>
        <w:rPr>
          <w:rFonts w:hint="eastAsia" w:ascii="微软雅黑" w:hAnsi="微软雅黑" w:eastAsia="微软雅黑" w:cs="微软雅黑"/>
          <w:i w:val="0"/>
          <w:caps w:val="0"/>
          <w:color w:val="555555"/>
          <w:spacing w:val="0"/>
          <w:sz w:val="24"/>
          <w:szCs w:val="24"/>
          <w:shd w:val="clear" w:fill="FFFFFF"/>
        </w:rPr>
      </w:pPr>
      <w:r>
        <w:rPr>
          <w:rFonts w:hint="eastAsia" w:ascii="微软雅黑" w:hAnsi="微软雅黑" w:eastAsia="微软雅黑" w:cs="微软雅黑"/>
          <w:i w:val="0"/>
          <w:caps w:val="0"/>
          <w:color w:val="555555"/>
          <w:spacing w:val="0"/>
          <w:sz w:val="24"/>
          <w:szCs w:val="24"/>
          <w:shd w:val="clear" w:fill="FFFFFF"/>
        </w:rPr>
        <w:t>设置5个职能科室：市文化信息资源共享工程支中心、办公室、采编辅导部、借阅部、机关借阅部5个科室。</w:t>
      </w:r>
    </w:p>
    <w:p>
      <w:pPr>
        <w:rPr>
          <w:rFonts w:hint="eastAsia" w:ascii="仿宋_GB2312" w:hAnsi="宋体" w:eastAsia="仿宋_GB2312" w:cs="Courier New"/>
          <w:sz w:val="32"/>
          <w:szCs w:val="32"/>
        </w:rPr>
      </w:pPr>
      <w:r>
        <w:rPr>
          <w:rFonts w:hint="eastAsia" w:ascii="仿宋_GB2312" w:hAnsi="宋体" w:eastAsia="仿宋_GB2312" w:cs="Courier New"/>
          <w:sz w:val="32"/>
          <w:szCs w:val="32"/>
        </w:rPr>
        <w:t xml:space="preserve">  </w:t>
      </w:r>
    </w:p>
    <w:p>
      <w:pPr>
        <w:rPr>
          <w:rFonts w:hint="eastAsia" w:ascii="仿宋_GB2312" w:hAnsi="宋体" w:eastAsia="仿宋_GB2312" w:cs="Courier New"/>
          <w:sz w:val="32"/>
          <w:szCs w:val="32"/>
        </w:rPr>
      </w:pPr>
    </w:p>
    <w:p>
      <w:pPr>
        <w:rPr>
          <w:rFonts w:hint="eastAsia" w:ascii="仿宋_GB2312" w:hAnsi="宋体" w:eastAsia="仿宋_GB2312" w:cs="Courier New"/>
          <w:sz w:val="32"/>
          <w:szCs w:val="32"/>
        </w:rPr>
      </w:pPr>
    </w:p>
    <w:p>
      <w:pPr>
        <w:rPr>
          <w:rFonts w:hint="eastAsia" w:ascii="仿宋_GB2312" w:hAnsi="宋体" w:eastAsia="仿宋_GB2312" w:cs="Courier New"/>
          <w:sz w:val="32"/>
          <w:szCs w:val="32"/>
        </w:rPr>
      </w:pPr>
    </w:p>
    <w:p>
      <w:pPr>
        <w:rPr>
          <w:rFonts w:ascii="黑体" w:eastAsia="黑体"/>
          <w:b/>
          <w:sz w:val="48"/>
          <w:szCs w:val="48"/>
        </w:rPr>
      </w:pPr>
      <w:r>
        <w:rPr>
          <w:rFonts w:hint="eastAsia" w:ascii="仿宋_GB2312" w:hAnsi="宋体" w:eastAsia="仿宋_GB2312" w:cs="Courier New"/>
          <w:sz w:val="32"/>
          <w:szCs w:val="32"/>
        </w:rPr>
        <w:t xml:space="preserve"> </w:t>
      </w:r>
    </w:p>
    <w:p>
      <w:pPr>
        <w:jc w:val="left"/>
        <w:rPr>
          <w:rFonts w:hint="eastAsia" w:ascii="方正舒体" w:hAnsi="方正舒体" w:eastAsia="方正舒体" w:cs="方正舒体"/>
          <w:spacing w:val="60"/>
          <w:sz w:val="48"/>
          <w:szCs w:val="48"/>
          <w:lang w:eastAsia="zh-CN"/>
        </w:rPr>
      </w:pPr>
    </w:p>
    <w:p>
      <w:pPr>
        <w:ind w:firstLine="540" w:firstLineChars="100"/>
        <w:rPr>
          <w:rFonts w:hint="eastAsia" w:ascii="方正小标宋简体" w:eastAsia="方正小标宋简体"/>
          <w:spacing w:val="60"/>
          <w:sz w:val="42"/>
          <w:lang w:eastAsia="zh-CN"/>
        </w:rPr>
      </w:pPr>
      <w:r>
        <w:rPr>
          <w:rFonts w:hint="eastAsia" w:ascii="方正小标宋简体" w:eastAsia="方正小标宋简体"/>
          <w:spacing w:val="60"/>
          <w:sz w:val="42"/>
          <w:lang w:eastAsia="zh-CN"/>
        </w:rPr>
        <w:t>第二部分</w:t>
      </w:r>
    </w:p>
    <w:p>
      <w:pPr>
        <w:ind w:firstLine="540" w:firstLineChars="100"/>
        <w:rPr>
          <w:rFonts w:hint="eastAsia" w:ascii="方正小标宋简体" w:eastAsia="方正小标宋简体"/>
          <w:spacing w:val="60"/>
          <w:sz w:val="42"/>
          <w:lang w:eastAsia="zh-CN"/>
        </w:rPr>
      </w:pPr>
    </w:p>
    <w:p>
      <w:pPr>
        <w:ind w:firstLine="540" w:firstLineChars="100"/>
        <w:jc w:val="center"/>
        <w:rPr>
          <w:rFonts w:hint="eastAsia" w:ascii="方正小标宋简体" w:eastAsia="方正小标宋简体"/>
          <w:spacing w:val="60"/>
          <w:sz w:val="42"/>
          <w:lang w:eastAsia="zh-CN"/>
        </w:rPr>
      </w:pPr>
      <w:r>
        <w:rPr>
          <w:rFonts w:hint="eastAsia" w:ascii="方正小标宋简体" w:eastAsia="方正小标宋简体"/>
          <w:spacing w:val="60"/>
          <w:sz w:val="42"/>
          <w:lang w:eastAsia="zh-CN"/>
        </w:rPr>
        <w:t>201</w:t>
      </w:r>
      <w:r>
        <w:rPr>
          <w:rFonts w:hint="eastAsia" w:ascii="方正小标宋简体" w:eastAsia="方正小标宋简体"/>
          <w:spacing w:val="60"/>
          <w:sz w:val="42"/>
          <w:lang w:val="en-US" w:eastAsia="zh-CN"/>
        </w:rPr>
        <w:t>9</w:t>
      </w:r>
      <w:r>
        <w:rPr>
          <w:rFonts w:hint="eastAsia" w:ascii="方正小标宋简体" w:eastAsia="方正小标宋简体"/>
          <w:spacing w:val="60"/>
          <w:sz w:val="42"/>
          <w:lang w:eastAsia="zh-CN"/>
        </w:rPr>
        <w:t>年度部门决算表</w:t>
      </w: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hint="eastAsia" w:ascii="黑体" w:eastAsia="黑体"/>
          <w:b/>
          <w:sz w:val="30"/>
          <w:szCs w:val="30"/>
          <w:lang w:eastAsia="zh-CN"/>
        </w:rPr>
      </w:pPr>
    </w:p>
    <w:p>
      <w:pPr>
        <w:rPr>
          <w:rFonts w:ascii="黑体" w:eastAsia="黑体"/>
          <w:b/>
          <w:sz w:val="30"/>
          <w:szCs w:val="30"/>
        </w:rPr>
      </w:pPr>
      <w:r>
        <w:rPr>
          <w:rFonts w:hint="eastAsia" w:ascii="黑体" w:eastAsia="黑体"/>
          <w:b/>
          <w:sz w:val="30"/>
          <w:szCs w:val="30"/>
          <w:lang w:eastAsia="zh-CN"/>
        </w:rPr>
        <w:drawing>
          <wp:anchor distT="0" distB="0" distL="114300" distR="114300" simplePos="0" relativeHeight="251664384" behindDoc="0" locked="0" layoutInCell="1" allowOverlap="1">
            <wp:simplePos x="0" y="0"/>
            <wp:positionH relativeFrom="column">
              <wp:posOffset>-848995</wp:posOffset>
            </wp:positionH>
            <wp:positionV relativeFrom="paragraph">
              <wp:posOffset>-704215</wp:posOffset>
            </wp:positionV>
            <wp:extent cx="6686550" cy="9348470"/>
            <wp:effectExtent l="0" t="0" r="0" b="5080"/>
            <wp:wrapNone/>
            <wp:docPr id="4" name="图片 4" descr="7bdd6a42ab2e74e287d309e0fcd7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7bdd6a42ab2e74e287d309e0fcd7183"/>
                    <pic:cNvPicPr>
                      <a:picLocks noChangeAspect="1"/>
                    </pic:cNvPicPr>
                  </pic:nvPicPr>
                  <pic:blipFill>
                    <a:blip r:embed="rId9"/>
                    <a:stretch>
                      <a:fillRect/>
                    </a:stretch>
                  </pic:blipFill>
                  <pic:spPr>
                    <a:xfrm>
                      <a:off x="0" y="0"/>
                      <a:ext cx="6686550" cy="9348470"/>
                    </a:xfrm>
                    <a:prstGeom prst="rect">
                      <a:avLst/>
                    </a:prstGeom>
                  </pic:spPr>
                </pic:pic>
              </a:graphicData>
            </a:graphic>
          </wp:anchor>
        </w:drawing>
      </w: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jc w:val="center"/>
        <w:rPr>
          <w:rFonts w:ascii="黑体" w:eastAsia="黑体"/>
          <w:b/>
          <w:sz w:val="30"/>
          <w:szCs w:val="30"/>
        </w:rPr>
      </w:pPr>
    </w:p>
    <w:p>
      <w:pPr>
        <w:jc w:val="center"/>
        <w:rPr>
          <w:rFonts w:ascii="黑体" w:eastAsia="黑体"/>
          <w:b/>
          <w:sz w:val="30"/>
          <w:szCs w:val="30"/>
        </w:rPr>
      </w:pPr>
    </w:p>
    <w:p>
      <w:pPr>
        <w:jc w:val="center"/>
        <w:rPr>
          <w:rFonts w:ascii="黑体" w:eastAsia="黑体"/>
          <w:b/>
          <w:sz w:val="30"/>
          <w:szCs w:val="30"/>
        </w:rPr>
      </w:pPr>
    </w:p>
    <w:p>
      <w:pPr>
        <w:jc w:val="center"/>
        <w:rPr>
          <w:rFonts w:ascii="黑体" w:eastAsia="黑体"/>
          <w:b/>
          <w:sz w:val="30"/>
          <w:szCs w:val="30"/>
        </w:rPr>
      </w:pPr>
    </w:p>
    <w:p>
      <w:pPr>
        <w:jc w:val="both"/>
        <w:rPr>
          <w:rFonts w:ascii="黑体" w:eastAsia="黑体"/>
          <w:b/>
          <w:sz w:val="30"/>
          <w:szCs w:val="30"/>
        </w:rPr>
        <w:sectPr>
          <w:footerReference r:id="rId6" w:type="default"/>
          <w:pgSz w:w="11906" w:h="16838"/>
          <w:pgMar w:top="1440" w:right="1800" w:bottom="1440" w:left="1800" w:header="851" w:footer="992" w:gutter="0"/>
          <w:pgNumType w:fmt="decimal" w:start="1"/>
          <w:cols w:space="425" w:num="1"/>
          <w:docGrid w:type="lines" w:linePitch="312" w:charSpace="0"/>
        </w:sectPr>
      </w:pPr>
    </w:p>
    <w:p>
      <w:pPr>
        <w:jc w:val="center"/>
        <w:rPr>
          <w:rFonts w:ascii="仿宋_GB2312" w:eastAsia="仿宋_GB2312"/>
          <w:b/>
          <w:sz w:val="30"/>
          <w:szCs w:val="30"/>
        </w:rPr>
      </w:pPr>
      <w:r>
        <w:rPr>
          <w:rFonts w:ascii="黑体" w:eastAsia="黑体"/>
          <w:b/>
          <w:sz w:val="30"/>
          <w:szCs w:val="30"/>
        </w:rPr>
        <w:drawing>
          <wp:anchor distT="0" distB="0" distL="114300" distR="114300" simplePos="0" relativeHeight="251665408" behindDoc="0" locked="0" layoutInCell="1" allowOverlap="1">
            <wp:simplePos x="0" y="0"/>
            <wp:positionH relativeFrom="column">
              <wp:posOffset>-623570</wp:posOffset>
            </wp:positionH>
            <wp:positionV relativeFrom="paragraph">
              <wp:posOffset>-601345</wp:posOffset>
            </wp:positionV>
            <wp:extent cx="9968865" cy="5659755"/>
            <wp:effectExtent l="0" t="0" r="13335" b="17145"/>
            <wp:wrapNone/>
            <wp:docPr id="5" name="图片 5" descr="a259d016cc1f6104f743ced0aa27b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a259d016cc1f6104f743ced0aa27b6b"/>
                    <pic:cNvPicPr>
                      <a:picLocks noChangeAspect="1"/>
                    </pic:cNvPicPr>
                  </pic:nvPicPr>
                  <pic:blipFill>
                    <a:blip r:embed="rId10"/>
                    <a:stretch>
                      <a:fillRect/>
                    </a:stretch>
                  </pic:blipFill>
                  <pic:spPr>
                    <a:xfrm>
                      <a:off x="0" y="0"/>
                      <a:ext cx="9968865" cy="5659755"/>
                    </a:xfrm>
                    <a:prstGeom prst="rect">
                      <a:avLst/>
                    </a:prstGeom>
                  </pic:spPr>
                </pic:pic>
              </a:graphicData>
            </a:graphic>
          </wp:anchor>
        </w:drawing>
      </w:r>
    </w:p>
    <w:p>
      <w:pPr>
        <w:jc w:val="right"/>
        <w:rPr>
          <w:rFonts w:ascii="黑体" w:eastAsia="黑体"/>
          <w:b/>
          <w:sz w:val="30"/>
          <w:szCs w:val="30"/>
        </w:rPr>
      </w:pPr>
      <w:r>
        <w:rPr>
          <w:rFonts w:ascii="黑体" w:eastAsia="黑体"/>
          <w:b/>
          <w:sz w:val="30"/>
          <w:szCs w:val="30"/>
        </w:rPr>
        <w:br w:type="page"/>
      </w:r>
    </w:p>
    <w:p>
      <w:pPr>
        <w:rPr>
          <w:rFonts w:hint="eastAsia" w:ascii="仿宋_GB2312" w:hAnsi="宋体" w:eastAsia="仿宋_GB2312" w:cs="宋体"/>
          <w:kern w:val="0"/>
          <w:szCs w:val="21"/>
          <w:lang w:eastAsia="zh-CN"/>
        </w:rPr>
      </w:pPr>
      <w:r>
        <w:rPr>
          <w:rFonts w:hint="eastAsia" w:ascii="仿宋_GB2312" w:hAnsi="宋体" w:eastAsia="仿宋_GB2312" w:cs="宋体"/>
          <w:kern w:val="0"/>
          <w:szCs w:val="21"/>
          <w:lang w:eastAsia="zh-CN"/>
        </w:rPr>
        <w:drawing>
          <wp:anchor distT="0" distB="0" distL="114300" distR="114300" simplePos="0" relativeHeight="251666432" behindDoc="0" locked="0" layoutInCell="1" allowOverlap="1">
            <wp:simplePos x="0" y="0"/>
            <wp:positionH relativeFrom="column">
              <wp:posOffset>-588645</wp:posOffset>
            </wp:positionH>
            <wp:positionV relativeFrom="paragraph">
              <wp:posOffset>-730885</wp:posOffset>
            </wp:positionV>
            <wp:extent cx="9910445" cy="6025515"/>
            <wp:effectExtent l="0" t="0" r="14605" b="13335"/>
            <wp:wrapNone/>
            <wp:docPr id="8" name="图片 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3"/>
                    <pic:cNvPicPr>
                      <a:picLocks noChangeAspect="1"/>
                    </pic:cNvPicPr>
                  </pic:nvPicPr>
                  <pic:blipFill>
                    <a:blip r:embed="rId11"/>
                    <a:stretch>
                      <a:fillRect/>
                    </a:stretch>
                  </pic:blipFill>
                  <pic:spPr>
                    <a:xfrm>
                      <a:off x="0" y="0"/>
                      <a:ext cx="9910445" cy="6025515"/>
                    </a:xfrm>
                    <a:prstGeom prst="rect">
                      <a:avLst/>
                    </a:prstGeom>
                  </pic:spPr>
                </pic:pic>
              </a:graphicData>
            </a:graphic>
          </wp:anchor>
        </w:drawing>
      </w:r>
    </w:p>
    <w:p>
      <w:pPr>
        <w:rPr>
          <w:rFonts w:ascii="仿宋_GB2312" w:hAnsi="宋体" w:eastAsia="仿宋_GB2312" w:cs="宋体"/>
          <w:kern w:val="0"/>
          <w:szCs w:val="21"/>
        </w:rPr>
      </w:pPr>
    </w:p>
    <w:p>
      <w:pPr>
        <w:jc w:val="center"/>
        <w:rPr>
          <w:rFonts w:ascii="仿宋_GB2312" w:eastAsia="仿宋_GB2312"/>
          <w:b/>
          <w:sz w:val="30"/>
          <w:szCs w:val="30"/>
        </w:rPr>
      </w:pPr>
    </w:p>
    <w:p>
      <w:pPr>
        <w:jc w:val="center"/>
        <w:rPr>
          <w:rFonts w:ascii="仿宋_GB2312" w:eastAsia="仿宋_GB2312"/>
          <w:b/>
          <w:sz w:val="30"/>
          <w:szCs w:val="30"/>
        </w:rPr>
      </w:pPr>
    </w:p>
    <w:p>
      <w:pPr>
        <w:jc w:val="center"/>
        <w:rPr>
          <w:rFonts w:ascii="黑体" w:eastAsia="黑体"/>
          <w:b/>
          <w:sz w:val="30"/>
          <w:szCs w:val="30"/>
        </w:rPr>
      </w:pPr>
    </w:p>
    <w:p>
      <w:pPr>
        <w:jc w:val="center"/>
        <w:rPr>
          <w:rFonts w:ascii="黑体" w:eastAsia="黑体"/>
          <w:b/>
          <w:sz w:val="30"/>
          <w:szCs w:val="30"/>
        </w:rPr>
      </w:pPr>
    </w:p>
    <w:p>
      <w:pPr>
        <w:tabs>
          <w:tab w:val="left" w:pos="2832"/>
        </w:tabs>
        <w:jc w:val="left"/>
        <w:rPr>
          <w:rFonts w:hint="eastAsia" w:ascii="黑体" w:eastAsia="黑体"/>
          <w:b/>
          <w:sz w:val="30"/>
          <w:szCs w:val="30"/>
          <w:lang w:eastAsia="zh-CN"/>
        </w:rPr>
      </w:pPr>
    </w:p>
    <w:p>
      <w:pPr>
        <w:rPr>
          <w:rFonts w:ascii="仿宋_GB2312" w:hAnsi="宋体" w:eastAsia="仿宋_GB2312" w:cs="宋体"/>
          <w:kern w:val="0"/>
          <w:szCs w:val="21"/>
        </w:rPr>
      </w:pPr>
    </w:p>
    <w:p>
      <w:pPr>
        <w:rPr>
          <w:rFonts w:ascii="仿宋_GB2312" w:hAnsi="宋体" w:eastAsia="仿宋_GB2312" w:cs="宋体"/>
          <w:kern w:val="0"/>
          <w:szCs w:val="21"/>
        </w:rPr>
      </w:pPr>
    </w:p>
    <w:p>
      <w:pPr>
        <w:rPr>
          <w:rFonts w:ascii="仿宋_GB2312" w:hAnsi="宋体" w:eastAsia="仿宋_GB2312" w:cs="宋体"/>
          <w:kern w:val="0"/>
          <w:szCs w:val="21"/>
        </w:rPr>
      </w:pPr>
    </w:p>
    <w:p>
      <w:pPr>
        <w:rPr>
          <w:rFonts w:ascii="仿宋_GB2312" w:hAnsi="宋体" w:eastAsia="仿宋_GB2312" w:cs="宋体"/>
          <w:kern w:val="0"/>
          <w:szCs w:val="21"/>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r>
        <w:rPr>
          <w:rFonts w:hint="eastAsia" w:ascii="黑体" w:eastAsia="黑体"/>
          <w:b/>
          <w:sz w:val="30"/>
          <w:szCs w:val="30"/>
          <w:lang w:eastAsia="zh-CN"/>
        </w:rPr>
        <w:drawing>
          <wp:anchor distT="0" distB="0" distL="114300" distR="114300" simplePos="0" relativeHeight="251667456" behindDoc="0" locked="0" layoutInCell="1" allowOverlap="1">
            <wp:simplePos x="0" y="0"/>
            <wp:positionH relativeFrom="column">
              <wp:posOffset>605790</wp:posOffset>
            </wp:positionH>
            <wp:positionV relativeFrom="paragraph">
              <wp:posOffset>-996315</wp:posOffset>
            </wp:positionV>
            <wp:extent cx="7758430" cy="6406515"/>
            <wp:effectExtent l="0" t="0" r="13970" b="13335"/>
            <wp:wrapNone/>
            <wp:docPr id="10" name="图片 10"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4"/>
                    <pic:cNvPicPr>
                      <a:picLocks noChangeAspect="1"/>
                    </pic:cNvPicPr>
                  </pic:nvPicPr>
                  <pic:blipFill>
                    <a:blip r:embed="rId12"/>
                    <a:stretch>
                      <a:fillRect/>
                    </a:stretch>
                  </pic:blipFill>
                  <pic:spPr>
                    <a:xfrm>
                      <a:off x="0" y="0"/>
                      <a:ext cx="7758430" cy="6406515"/>
                    </a:xfrm>
                    <a:prstGeom prst="rect">
                      <a:avLst/>
                    </a:prstGeom>
                  </pic:spPr>
                </pic:pic>
              </a:graphicData>
            </a:graphic>
          </wp:anchor>
        </w:drawing>
      </w: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hint="eastAsia" w:ascii="黑体" w:eastAsia="黑体"/>
          <w:b/>
          <w:sz w:val="30"/>
          <w:szCs w:val="30"/>
          <w:lang w:eastAsia="zh-CN"/>
        </w:rPr>
      </w:pPr>
    </w:p>
    <w:p>
      <w:pPr>
        <w:rPr>
          <w:rFonts w:hint="eastAsia" w:ascii="黑体" w:eastAsia="黑体"/>
          <w:b/>
          <w:sz w:val="30"/>
          <w:szCs w:val="30"/>
          <w:lang w:eastAsia="zh-CN"/>
        </w:rPr>
      </w:pPr>
    </w:p>
    <w:p>
      <w:pPr>
        <w:rPr>
          <w:rFonts w:hint="eastAsia" w:ascii="黑体" w:eastAsia="黑体"/>
          <w:b/>
          <w:sz w:val="30"/>
          <w:szCs w:val="30"/>
          <w:lang w:eastAsia="zh-CN"/>
        </w:rPr>
      </w:pPr>
    </w:p>
    <w:p>
      <w:pPr>
        <w:rPr>
          <w:rFonts w:hint="eastAsia" w:ascii="黑体" w:eastAsia="黑体"/>
          <w:b/>
          <w:sz w:val="30"/>
          <w:szCs w:val="30"/>
          <w:lang w:eastAsia="zh-CN"/>
        </w:rPr>
      </w:pPr>
    </w:p>
    <w:p>
      <w:pPr>
        <w:rPr>
          <w:rFonts w:hint="eastAsia" w:ascii="黑体" w:eastAsia="黑体"/>
          <w:b/>
          <w:sz w:val="30"/>
          <w:szCs w:val="30"/>
          <w:lang w:eastAsia="zh-CN"/>
        </w:rPr>
      </w:pPr>
    </w:p>
    <w:p>
      <w:pPr>
        <w:rPr>
          <w:rFonts w:hint="eastAsia" w:ascii="黑体" w:eastAsia="黑体"/>
          <w:b/>
          <w:sz w:val="30"/>
          <w:szCs w:val="30"/>
          <w:lang w:eastAsia="zh-CN"/>
        </w:rPr>
      </w:pPr>
      <w:r>
        <w:rPr>
          <w:rFonts w:hint="eastAsia" w:ascii="黑体" w:eastAsia="黑体"/>
          <w:b/>
          <w:sz w:val="30"/>
          <w:szCs w:val="30"/>
          <w:lang w:eastAsia="zh-CN"/>
        </w:rPr>
        <w:drawing>
          <wp:anchor distT="0" distB="0" distL="114300" distR="114300" simplePos="0" relativeHeight="251668480" behindDoc="0" locked="0" layoutInCell="1" allowOverlap="1">
            <wp:simplePos x="0" y="0"/>
            <wp:positionH relativeFrom="column">
              <wp:posOffset>-248285</wp:posOffset>
            </wp:positionH>
            <wp:positionV relativeFrom="paragraph">
              <wp:posOffset>161925</wp:posOffset>
            </wp:positionV>
            <wp:extent cx="9592310" cy="4913630"/>
            <wp:effectExtent l="0" t="0" r="8890" b="1270"/>
            <wp:wrapNone/>
            <wp:docPr id="12" name="图片 1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5"/>
                    <pic:cNvPicPr>
                      <a:picLocks noChangeAspect="1"/>
                    </pic:cNvPicPr>
                  </pic:nvPicPr>
                  <pic:blipFill>
                    <a:blip r:embed="rId13"/>
                    <a:stretch>
                      <a:fillRect/>
                    </a:stretch>
                  </pic:blipFill>
                  <pic:spPr>
                    <a:xfrm>
                      <a:off x="0" y="0"/>
                      <a:ext cx="9592310" cy="4913630"/>
                    </a:xfrm>
                    <a:prstGeom prst="rect">
                      <a:avLst/>
                    </a:prstGeom>
                  </pic:spPr>
                </pic:pic>
              </a:graphicData>
            </a:graphic>
          </wp:anchor>
        </w:drawing>
      </w:r>
    </w:p>
    <w:p>
      <w:pPr>
        <w:rPr>
          <w:rFonts w:hint="eastAsia" w:ascii="黑体" w:eastAsia="黑体"/>
          <w:b/>
          <w:sz w:val="30"/>
          <w:szCs w:val="30"/>
          <w:lang w:eastAsia="zh-CN"/>
        </w:rPr>
      </w:pPr>
    </w:p>
    <w:p>
      <w:pPr>
        <w:rPr>
          <w:rFonts w:hint="eastAsia" w:ascii="黑体" w:eastAsia="黑体"/>
          <w:b/>
          <w:sz w:val="30"/>
          <w:szCs w:val="30"/>
          <w:lang w:eastAsia="zh-CN"/>
        </w:rPr>
      </w:pPr>
    </w:p>
    <w:p>
      <w:pPr>
        <w:rPr>
          <w:rFonts w:hint="eastAsia" w:ascii="黑体" w:eastAsia="黑体"/>
          <w:b/>
          <w:sz w:val="30"/>
          <w:szCs w:val="30"/>
          <w:lang w:eastAsia="zh-CN"/>
        </w:rPr>
      </w:pPr>
    </w:p>
    <w:p>
      <w:pPr>
        <w:rPr>
          <w:rFonts w:hint="eastAsia" w:ascii="黑体" w:eastAsia="黑体"/>
          <w:b/>
          <w:sz w:val="30"/>
          <w:szCs w:val="30"/>
          <w:lang w:eastAsia="zh-CN"/>
        </w:rPr>
      </w:pPr>
    </w:p>
    <w:p>
      <w:pPr>
        <w:rPr>
          <w:rFonts w:hint="eastAsia" w:ascii="黑体" w:eastAsia="黑体"/>
          <w:b/>
          <w:sz w:val="30"/>
          <w:szCs w:val="30"/>
          <w:lang w:eastAsia="zh-CN"/>
        </w:rPr>
      </w:pPr>
    </w:p>
    <w:p>
      <w:pPr>
        <w:rPr>
          <w:rFonts w:hint="eastAsia" w:ascii="黑体" w:eastAsia="黑体"/>
          <w:b/>
          <w:sz w:val="30"/>
          <w:szCs w:val="30"/>
          <w:lang w:eastAsia="zh-CN"/>
        </w:rPr>
      </w:pPr>
    </w:p>
    <w:p>
      <w:pPr>
        <w:rPr>
          <w:rFonts w:hint="eastAsia" w:ascii="黑体" w:eastAsia="黑体"/>
          <w:b/>
          <w:sz w:val="30"/>
          <w:szCs w:val="30"/>
          <w:lang w:eastAsia="zh-CN"/>
        </w:rPr>
      </w:pPr>
    </w:p>
    <w:p>
      <w:pPr>
        <w:rPr>
          <w:rFonts w:hint="eastAsia" w:ascii="黑体" w:eastAsia="黑体"/>
          <w:b/>
          <w:sz w:val="30"/>
          <w:szCs w:val="30"/>
          <w:lang w:eastAsia="zh-CN"/>
        </w:rPr>
      </w:pPr>
    </w:p>
    <w:p>
      <w:pPr>
        <w:rPr>
          <w:rFonts w:hint="eastAsia" w:ascii="黑体" w:eastAsia="黑体"/>
          <w:b/>
          <w:sz w:val="30"/>
          <w:szCs w:val="30"/>
          <w:lang w:eastAsia="zh-CN"/>
        </w:rPr>
      </w:pPr>
    </w:p>
    <w:p>
      <w:pPr>
        <w:rPr>
          <w:rFonts w:hint="eastAsia" w:ascii="黑体" w:eastAsia="黑体"/>
          <w:b/>
          <w:sz w:val="30"/>
          <w:szCs w:val="30"/>
          <w:lang w:eastAsia="zh-CN"/>
        </w:rPr>
      </w:pPr>
    </w:p>
    <w:p>
      <w:pPr>
        <w:rPr>
          <w:rFonts w:hint="eastAsia" w:ascii="黑体" w:eastAsia="黑体"/>
          <w:b/>
          <w:sz w:val="30"/>
          <w:szCs w:val="30"/>
          <w:lang w:eastAsia="zh-CN"/>
        </w:rPr>
      </w:pPr>
    </w:p>
    <w:p>
      <w:pPr>
        <w:rPr>
          <w:rFonts w:hint="eastAsia" w:ascii="黑体" w:eastAsia="黑体"/>
          <w:b/>
          <w:sz w:val="30"/>
          <w:szCs w:val="30"/>
          <w:lang w:eastAsia="zh-CN"/>
        </w:rPr>
      </w:pPr>
    </w:p>
    <w:p>
      <w:pPr>
        <w:rPr>
          <w:rFonts w:hint="eastAsia" w:ascii="黑体" w:eastAsia="黑体"/>
          <w:b/>
          <w:sz w:val="30"/>
          <w:szCs w:val="30"/>
          <w:lang w:eastAsia="zh-CN"/>
        </w:rPr>
      </w:pPr>
      <w:r>
        <w:rPr>
          <w:rFonts w:hint="eastAsia" w:ascii="黑体" w:eastAsia="黑体"/>
          <w:b/>
          <w:sz w:val="30"/>
          <w:szCs w:val="30"/>
          <w:lang w:eastAsia="zh-CN"/>
        </w:rPr>
        <w:drawing>
          <wp:anchor distT="0" distB="0" distL="114300" distR="114300" simplePos="0" relativeHeight="251669504" behindDoc="0" locked="0" layoutInCell="1" allowOverlap="1">
            <wp:simplePos x="0" y="0"/>
            <wp:positionH relativeFrom="column">
              <wp:posOffset>-381000</wp:posOffset>
            </wp:positionH>
            <wp:positionV relativeFrom="paragraph">
              <wp:posOffset>-883920</wp:posOffset>
            </wp:positionV>
            <wp:extent cx="9657715" cy="6092190"/>
            <wp:effectExtent l="0" t="0" r="635" b="3810"/>
            <wp:wrapNone/>
            <wp:docPr id="13" name="图片 13"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6"/>
                    <pic:cNvPicPr>
                      <a:picLocks noChangeAspect="1"/>
                    </pic:cNvPicPr>
                  </pic:nvPicPr>
                  <pic:blipFill>
                    <a:blip r:embed="rId14"/>
                    <a:stretch>
                      <a:fillRect/>
                    </a:stretch>
                  </pic:blipFill>
                  <pic:spPr>
                    <a:xfrm>
                      <a:off x="0" y="0"/>
                      <a:ext cx="9657715" cy="6092190"/>
                    </a:xfrm>
                    <a:prstGeom prst="rect">
                      <a:avLst/>
                    </a:prstGeom>
                  </pic:spPr>
                </pic:pic>
              </a:graphicData>
            </a:graphic>
          </wp:anchor>
        </w:drawing>
      </w:r>
    </w:p>
    <w:p>
      <w:pPr>
        <w:rPr>
          <w:rFonts w:hint="eastAsia" w:ascii="黑体" w:eastAsia="黑体"/>
          <w:b/>
          <w:sz w:val="30"/>
          <w:szCs w:val="30"/>
          <w:lang w:eastAsia="zh-CN"/>
        </w:rPr>
      </w:pPr>
    </w:p>
    <w:p>
      <w:pPr>
        <w:rPr>
          <w:rFonts w:hint="eastAsia" w:ascii="黑体" w:eastAsia="黑体"/>
          <w:b/>
          <w:sz w:val="30"/>
          <w:szCs w:val="30"/>
          <w:lang w:eastAsia="zh-CN"/>
        </w:rPr>
      </w:pPr>
    </w:p>
    <w:p>
      <w:pPr>
        <w:rPr>
          <w:rFonts w:hint="eastAsia" w:ascii="黑体" w:eastAsia="黑体"/>
          <w:b/>
          <w:sz w:val="30"/>
          <w:szCs w:val="30"/>
          <w:lang w:eastAsia="zh-CN"/>
        </w:rPr>
      </w:pPr>
    </w:p>
    <w:p>
      <w:pPr>
        <w:rPr>
          <w:rFonts w:hint="eastAsia" w:ascii="黑体" w:eastAsia="黑体"/>
          <w:b/>
          <w:sz w:val="30"/>
          <w:szCs w:val="30"/>
          <w:lang w:eastAsia="zh-CN"/>
        </w:rPr>
      </w:pPr>
    </w:p>
    <w:p>
      <w:pPr>
        <w:rPr>
          <w:rFonts w:hint="eastAsia" w:ascii="黑体" w:eastAsia="黑体"/>
          <w:b/>
          <w:sz w:val="30"/>
          <w:szCs w:val="30"/>
          <w:lang w:eastAsia="zh-CN"/>
        </w:rPr>
      </w:pPr>
    </w:p>
    <w:p>
      <w:pPr>
        <w:rPr>
          <w:rFonts w:hint="eastAsia" w:ascii="黑体" w:eastAsia="黑体"/>
          <w:b/>
          <w:sz w:val="30"/>
          <w:szCs w:val="30"/>
          <w:lang w:eastAsia="zh-CN"/>
        </w:rPr>
      </w:pPr>
    </w:p>
    <w:p>
      <w:pPr>
        <w:rPr>
          <w:rFonts w:hint="eastAsia" w:ascii="黑体" w:eastAsia="黑体"/>
          <w:b/>
          <w:sz w:val="30"/>
          <w:szCs w:val="30"/>
          <w:lang w:eastAsia="zh-CN"/>
        </w:rPr>
      </w:pPr>
    </w:p>
    <w:p>
      <w:pPr>
        <w:rPr>
          <w:rFonts w:hint="eastAsia" w:ascii="黑体" w:eastAsia="黑体"/>
          <w:b/>
          <w:sz w:val="30"/>
          <w:szCs w:val="30"/>
          <w:lang w:eastAsia="zh-CN"/>
        </w:rPr>
      </w:pPr>
    </w:p>
    <w:p>
      <w:pPr>
        <w:rPr>
          <w:rFonts w:hint="eastAsia" w:ascii="黑体" w:eastAsia="黑体"/>
          <w:b/>
          <w:sz w:val="30"/>
          <w:szCs w:val="30"/>
          <w:lang w:eastAsia="zh-CN"/>
        </w:rPr>
      </w:pPr>
    </w:p>
    <w:p>
      <w:pPr>
        <w:rPr>
          <w:rFonts w:hint="eastAsia" w:ascii="黑体" w:eastAsia="黑体"/>
          <w:b/>
          <w:sz w:val="30"/>
          <w:szCs w:val="30"/>
          <w:lang w:eastAsia="zh-CN"/>
        </w:rPr>
      </w:pPr>
    </w:p>
    <w:p>
      <w:pPr>
        <w:rPr>
          <w:rFonts w:hint="eastAsia" w:ascii="黑体" w:eastAsia="黑体"/>
          <w:b/>
          <w:sz w:val="30"/>
          <w:szCs w:val="30"/>
          <w:lang w:eastAsia="zh-CN"/>
        </w:rPr>
      </w:pPr>
    </w:p>
    <w:p>
      <w:pPr>
        <w:rPr>
          <w:rFonts w:hint="eastAsia" w:ascii="黑体" w:eastAsia="黑体"/>
          <w:b/>
          <w:sz w:val="30"/>
          <w:szCs w:val="30"/>
          <w:lang w:eastAsia="zh-CN"/>
        </w:rPr>
      </w:pPr>
    </w:p>
    <w:p>
      <w:pPr>
        <w:rPr>
          <w:rFonts w:hint="eastAsia" w:ascii="黑体" w:eastAsia="黑体"/>
          <w:b/>
          <w:sz w:val="30"/>
          <w:szCs w:val="30"/>
          <w:lang w:eastAsia="zh-CN"/>
        </w:rPr>
      </w:pPr>
    </w:p>
    <w:p>
      <w:pPr>
        <w:rPr>
          <w:rFonts w:hint="eastAsia" w:ascii="黑体" w:eastAsia="黑体"/>
          <w:b/>
          <w:sz w:val="30"/>
          <w:szCs w:val="30"/>
          <w:lang w:eastAsia="zh-CN"/>
        </w:rPr>
      </w:pPr>
      <w:r>
        <w:rPr>
          <w:rFonts w:hint="eastAsia" w:ascii="黑体" w:eastAsia="黑体"/>
          <w:b/>
          <w:sz w:val="30"/>
          <w:szCs w:val="30"/>
          <w:lang w:eastAsia="zh-CN"/>
        </w:rPr>
        <w:drawing>
          <wp:anchor distT="0" distB="0" distL="114300" distR="114300" simplePos="0" relativeHeight="251670528" behindDoc="0" locked="0" layoutInCell="1" allowOverlap="1">
            <wp:simplePos x="0" y="0"/>
            <wp:positionH relativeFrom="column">
              <wp:posOffset>-642620</wp:posOffset>
            </wp:positionH>
            <wp:positionV relativeFrom="paragraph">
              <wp:posOffset>280035</wp:posOffset>
            </wp:positionV>
            <wp:extent cx="10146030" cy="2094230"/>
            <wp:effectExtent l="0" t="0" r="7620" b="1270"/>
            <wp:wrapNone/>
            <wp:docPr id="14" name="图片 14"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7"/>
                    <pic:cNvPicPr>
                      <a:picLocks noChangeAspect="1"/>
                    </pic:cNvPicPr>
                  </pic:nvPicPr>
                  <pic:blipFill>
                    <a:blip r:embed="rId15"/>
                    <a:stretch>
                      <a:fillRect/>
                    </a:stretch>
                  </pic:blipFill>
                  <pic:spPr>
                    <a:xfrm>
                      <a:off x="0" y="0"/>
                      <a:ext cx="10146030" cy="2094230"/>
                    </a:xfrm>
                    <a:prstGeom prst="rect">
                      <a:avLst/>
                    </a:prstGeom>
                  </pic:spPr>
                </pic:pic>
              </a:graphicData>
            </a:graphic>
          </wp:anchor>
        </w:drawing>
      </w:r>
    </w:p>
    <w:p>
      <w:pPr>
        <w:rPr>
          <w:rFonts w:hint="eastAsia" w:ascii="黑体" w:eastAsia="黑体"/>
          <w:b/>
          <w:sz w:val="30"/>
          <w:szCs w:val="30"/>
          <w:lang w:eastAsia="zh-CN"/>
        </w:rPr>
      </w:pPr>
    </w:p>
    <w:p>
      <w:pPr>
        <w:rPr>
          <w:rFonts w:hint="eastAsia" w:ascii="黑体" w:eastAsia="黑体"/>
          <w:b/>
          <w:sz w:val="30"/>
          <w:szCs w:val="30"/>
          <w:lang w:eastAsia="zh-CN"/>
        </w:rPr>
      </w:pPr>
    </w:p>
    <w:p>
      <w:pPr>
        <w:rPr>
          <w:rFonts w:hint="eastAsia" w:ascii="黑体" w:eastAsia="黑体"/>
          <w:b/>
          <w:sz w:val="30"/>
          <w:szCs w:val="30"/>
          <w:lang w:eastAsia="zh-CN"/>
        </w:rPr>
      </w:pPr>
    </w:p>
    <w:p>
      <w:pPr>
        <w:rPr>
          <w:rFonts w:hint="eastAsia" w:ascii="黑体" w:eastAsia="黑体"/>
          <w:b/>
          <w:sz w:val="30"/>
          <w:szCs w:val="30"/>
          <w:lang w:eastAsia="zh-CN"/>
        </w:rPr>
      </w:pPr>
    </w:p>
    <w:p>
      <w:pPr>
        <w:rPr>
          <w:rFonts w:hint="eastAsia" w:ascii="黑体" w:eastAsia="黑体"/>
          <w:b/>
          <w:sz w:val="30"/>
          <w:szCs w:val="30"/>
          <w:lang w:eastAsia="zh-CN"/>
        </w:rPr>
      </w:pPr>
    </w:p>
    <w:p>
      <w:pPr>
        <w:rPr>
          <w:rFonts w:hint="eastAsia" w:ascii="黑体" w:eastAsia="黑体"/>
          <w:b/>
          <w:sz w:val="30"/>
          <w:szCs w:val="30"/>
          <w:lang w:eastAsia="zh-CN"/>
        </w:rPr>
      </w:pPr>
    </w:p>
    <w:p>
      <w:pPr>
        <w:rPr>
          <w:rFonts w:hint="eastAsia" w:ascii="黑体" w:eastAsia="黑体"/>
          <w:b/>
          <w:sz w:val="30"/>
          <w:szCs w:val="30"/>
          <w:lang w:eastAsia="zh-CN"/>
        </w:rPr>
      </w:pPr>
      <w:r>
        <w:rPr>
          <w:rFonts w:hint="eastAsia" w:ascii="仿宋_GB2312" w:eastAsia="仿宋_GB2312"/>
          <w:sz w:val="32"/>
          <w:szCs w:val="32"/>
          <w:lang w:eastAsia="zh-CN"/>
        </w:rPr>
        <w:t>注：本部门无一般公共预算安排的“三公”经费支出，故本表无数据。</w:t>
      </w:r>
    </w:p>
    <w:p>
      <w:pPr>
        <w:rPr>
          <w:rFonts w:hint="eastAsia" w:ascii="黑体" w:eastAsia="黑体"/>
          <w:b/>
          <w:sz w:val="30"/>
          <w:szCs w:val="30"/>
          <w:lang w:eastAsia="zh-CN"/>
        </w:rPr>
      </w:pPr>
    </w:p>
    <w:p>
      <w:pPr>
        <w:rPr>
          <w:rFonts w:hint="eastAsia" w:ascii="黑体" w:eastAsia="黑体"/>
          <w:b/>
          <w:sz w:val="30"/>
          <w:szCs w:val="30"/>
          <w:lang w:eastAsia="zh-CN"/>
        </w:rPr>
      </w:pPr>
    </w:p>
    <w:p>
      <w:pPr>
        <w:rPr>
          <w:rFonts w:hint="eastAsia" w:ascii="黑体" w:eastAsia="黑体"/>
          <w:b/>
          <w:sz w:val="30"/>
          <w:szCs w:val="30"/>
          <w:lang w:eastAsia="zh-CN"/>
        </w:rPr>
      </w:pPr>
    </w:p>
    <w:p>
      <w:pPr>
        <w:rPr>
          <w:rFonts w:hint="eastAsia" w:ascii="黑体" w:eastAsia="黑体"/>
          <w:b/>
          <w:sz w:val="30"/>
          <w:szCs w:val="30"/>
          <w:lang w:eastAsia="zh-CN"/>
        </w:rPr>
      </w:pPr>
    </w:p>
    <w:p>
      <w:pPr>
        <w:rPr>
          <w:rFonts w:hint="eastAsia" w:ascii="黑体" w:eastAsia="黑体"/>
          <w:b/>
          <w:sz w:val="30"/>
          <w:szCs w:val="30"/>
          <w:lang w:eastAsia="zh-CN"/>
        </w:rPr>
      </w:pPr>
      <w:r>
        <w:rPr>
          <w:rFonts w:hint="default" w:ascii="黑体" w:eastAsia="黑体"/>
          <w:b/>
          <w:sz w:val="30"/>
          <w:szCs w:val="30"/>
          <w:lang w:val="en-US" w:eastAsia="zh-CN"/>
        </w:rPr>
        <w:drawing>
          <wp:anchor distT="0" distB="0" distL="114300" distR="114300" simplePos="0" relativeHeight="251671552" behindDoc="0" locked="0" layoutInCell="1" allowOverlap="1">
            <wp:simplePos x="0" y="0"/>
            <wp:positionH relativeFrom="column">
              <wp:posOffset>-476250</wp:posOffset>
            </wp:positionH>
            <wp:positionV relativeFrom="paragraph">
              <wp:posOffset>-200025</wp:posOffset>
            </wp:positionV>
            <wp:extent cx="10132060" cy="3249295"/>
            <wp:effectExtent l="0" t="0" r="2540" b="8255"/>
            <wp:wrapNone/>
            <wp:docPr id="15" name="图片 1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8"/>
                    <pic:cNvPicPr>
                      <a:picLocks noChangeAspect="1"/>
                    </pic:cNvPicPr>
                  </pic:nvPicPr>
                  <pic:blipFill>
                    <a:blip r:embed="rId16"/>
                    <a:stretch>
                      <a:fillRect/>
                    </a:stretch>
                  </pic:blipFill>
                  <pic:spPr>
                    <a:xfrm>
                      <a:off x="0" y="0"/>
                      <a:ext cx="10132060" cy="3249295"/>
                    </a:xfrm>
                    <a:prstGeom prst="rect">
                      <a:avLst/>
                    </a:prstGeom>
                  </pic:spPr>
                </pic:pic>
              </a:graphicData>
            </a:graphic>
          </wp:anchor>
        </w:drawing>
      </w:r>
    </w:p>
    <w:p>
      <w:pPr>
        <w:rPr>
          <w:rFonts w:hint="eastAsia" w:ascii="黑体" w:eastAsia="黑体"/>
          <w:b/>
          <w:sz w:val="30"/>
          <w:szCs w:val="30"/>
          <w:lang w:eastAsia="zh-CN"/>
        </w:rPr>
      </w:pPr>
    </w:p>
    <w:p>
      <w:pPr>
        <w:rPr>
          <w:rFonts w:hint="eastAsia" w:ascii="黑体" w:eastAsia="黑体"/>
          <w:b/>
          <w:sz w:val="30"/>
          <w:szCs w:val="30"/>
          <w:lang w:eastAsia="zh-CN"/>
        </w:rPr>
      </w:pPr>
    </w:p>
    <w:p>
      <w:pPr>
        <w:rPr>
          <w:rFonts w:hint="eastAsia" w:ascii="黑体" w:eastAsia="黑体"/>
          <w:b/>
          <w:sz w:val="30"/>
          <w:szCs w:val="30"/>
          <w:lang w:eastAsia="zh-CN"/>
        </w:rPr>
      </w:pPr>
    </w:p>
    <w:p>
      <w:pPr>
        <w:rPr>
          <w:rFonts w:hint="eastAsia" w:ascii="黑体" w:eastAsia="黑体"/>
          <w:b/>
          <w:sz w:val="30"/>
          <w:szCs w:val="30"/>
          <w:lang w:eastAsia="zh-CN"/>
        </w:rPr>
      </w:pPr>
    </w:p>
    <w:p>
      <w:pPr>
        <w:rPr>
          <w:rFonts w:hint="eastAsia" w:ascii="黑体" w:eastAsia="黑体"/>
          <w:b/>
          <w:sz w:val="30"/>
          <w:szCs w:val="30"/>
          <w:lang w:eastAsia="zh-CN"/>
        </w:rPr>
      </w:pPr>
      <w:r>
        <w:rPr>
          <w:rFonts w:hint="eastAsia" w:ascii="黑体" w:eastAsia="黑体"/>
          <w:b/>
          <w:sz w:val="30"/>
          <w:szCs w:val="30"/>
          <w:lang w:eastAsia="zh-CN"/>
        </w:rPr>
        <w:t>曲阜市图书馆没有政府性基金收入，也没有使用政府性基金安排的支出，故本表无数据。</w:t>
      </w:r>
    </w:p>
    <w:p>
      <w:pPr>
        <w:rPr>
          <w:rFonts w:hint="default" w:ascii="黑体" w:eastAsia="黑体"/>
          <w:b/>
          <w:sz w:val="30"/>
          <w:szCs w:val="30"/>
          <w:lang w:val="en-US" w:eastAsia="zh-CN"/>
        </w:rPr>
      </w:pPr>
    </w:p>
    <w:p>
      <w:pPr>
        <w:rPr>
          <w:rFonts w:hint="default" w:ascii="黑体" w:eastAsia="黑体"/>
          <w:b/>
          <w:sz w:val="30"/>
          <w:szCs w:val="30"/>
          <w:lang w:val="en-US" w:eastAsia="zh-CN"/>
        </w:rPr>
      </w:pPr>
    </w:p>
    <w:p>
      <w:pPr>
        <w:spacing w:line="600" w:lineRule="exact"/>
        <w:ind w:firstLine="600"/>
        <w:rPr>
          <w:rFonts w:ascii="仿宋_GB2312" w:eastAsia="仿宋_GB2312"/>
          <w:b/>
          <w:sz w:val="32"/>
          <w:szCs w:val="32"/>
        </w:rPr>
      </w:pPr>
      <w:r>
        <w:rPr>
          <w:rFonts w:hint="eastAsia" w:ascii="仿宋_GB2312" w:eastAsia="仿宋_GB2312"/>
          <w:sz w:val="32"/>
          <w:szCs w:val="32"/>
          <w:lang w:val="en-US" w:eastAsia="zh-CN"/>
        </w:rPr>
        <w:t>注：</w:t>
      </w:r>
      <w:r>
        <w:rPr>
          <w:rFonts w:hint="eastAsia" w:ascii="仿宋_GB2312" w:eastAsia="仿宋_GB2312"/>
          <w:sz w:val="32"/>
          <w:szCs w:val="32"/>
          <w:lang w:eastAsia="zh-CN"/>
        </w:rPr>
        <w:t>本部门没有政府性基金收入，也没有使用政府性基金安排的支出，故本表无数据。</w:t>
      </w:r>
    </w:p>
    <w:p>
      <w:pPr>
        <w:ind w:firstLine="110" w:firstLineChars="50"/>
        <w:rPr>
          <w:rFonts w:hint="default" w:ascii="仿宋_GB2312" w:hAnsi="宋体" w:eastAsia="仿宋_GB2312" w:cs="Times New Roman"/>
          <w:sz w:val="22"/>
          <w:szCs w:val="22"/>
          <w:lang w:val="en-US" w:eastAsia="zh-CN"/>
        </w:rPr>
        <w:sectPr>
          <w:pgSz w:w="16838" w:h="11906" w:orient="landscape"/>
          <w:pgMar w:top="1797" w:right="1440" w:bottom="1797" w:left="1440" w:header="851" w:footer="992" w:gutter="0"/>
          <w:pgNumType w:fmt="decimal"/>
          <w:cols w:space="425" w:num="1"/>
          <w:docGrid w:type="linesAndChars" w:linePitch="312" w:charSpace="0"/>
        </w:sectPr>
      </w:pPr>
    </w:p>
    <w:p>
      <w:pPr>
        <w:rPr>
          <w:rFonts w:ascii="黑体" w:eastAsia="黑体"/>
          <w:b/>
          <w:sz w:val="52"/>
          <w:szCs w:val="52"/>
        </w:rPr>
      </w:pPr>
    </w:p>
    <w:p>
      <w:pPr>
        <w:ind w:firstLine="540" w:firstLineChars="100"/>
        <w:rPr>
          <w:rFonts w:hint="eastAsia" w:ascii="方正小标宋简体" w:eastAsia="方正小标宋简体"/>
          <w:spacing w:val="60"/>
          <w:sz w:val="42"/>
          <w:lang w:eastAsia="zh-CN"/>
        </w:rPr>
      </w:pPr>
      <w:r>
        <w:rPr>
          <w:rFonts w:hint="eastAsia" w:ascii="方正小标宋简体" w:eastAsia="方正小标宋简体"/>
          <w:spacing w:val="60"/>
          <w:sz w:val="42"/>
          <w:lang w:eastAsia="zh-CN"/>
        </w:rPr>
        <w:t>第三部分</w:t>
      </w:r>
    </w:p>
    <w:p>
      <w:pPr>
        <w:ind w:firstLine="540" w:firstLineChars="100"/>
        <w:rPr>
          <w:rFonts w:hint="eastAsia" w:ascii="方正小标宋简体" w:eastAsia="方正小标宋简体"/>
          <w:spacing w:val="60"/>
          <w:sz w:val="42"/>
          <w:lang w:eastAsia="zh-CN"/>
        </w:rPr>
      </w:pPr>
    </w:p>
    <w:p>
      <w:pPr>
        <w:ind w:firstLine="540" w:firstLineChars="100"/>
        <w:jc w:val="center"/>
        <w:rPr>
          <w:rFonts w:hint="eastAsia" w:ascii="方正舒体" w:hAnsi="方正舒体" w:eastAsia="方正舒体" w:cs="方正舒体"/>
          <w:spacing w:val="60"/>
          <w:sz w:val="48"/>
          <w:szCs w:val="48"/>
          <w:lang w:eastAsia="zh-CN"/>
        </w:rPr>
      </w:pPr>
      <w:r>
        <w:rPr>
          <w:rFonts w:hint="eastAsia" w:ascii="方正小标宋简体" w:eastAsia="方正小标宋简体"/>
          <w:spacing w:val="60"/>
          <w:sz w:val="42"/>
          <w:lang w:eastAsia="zh-CN"/>
        </w:rPr>
        <w:t>201</w:t>
      </w:r>
      <w:r>
        <w:rPr>
          <w:rFonts w:hint="eastAsia" w:ascii="方正小标宋简体" w:eastAsia="方正小标宋简体"/>
          <w:spacing w:val="60"/>
          <w:sz w:val="42"/>
          <w:lang w:val="en-US" w:eastAsia="zh-CN"/>
        </w:rPr>
        <w:t>9</w:t>
      </w:r>
      <w:r>
        <w:rPr>
          <w:rFonts w:hint="eastAsia" w:ascii="方正小标宋简体" w:eastAsia="方正小标宋简体"/>
          <w:spacing w:val="60"/>
          <w:sz w:val="42"/>
          <w:lang w:eastAsia="zh-CN"/>
        </w:rPr>
        <w:t>年度部门决算情况说明</w:t>
      </w: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ind w:firstLine="640" w:firstLineChars="200"/>
        <w:rPr>
          <w:rFonts w:hint="eastAsia" w:ascii="黑体" w:hAnsi="黑体" w:eastAsia="黑体" w:cs="Times New Roman"/>
          <w:sz w:val="32"/>
          <w:szCs w:val="32"/>
          <w:lang w:eastAsia="zh-CN"/>
        </w:rPr>
      </w:pPr>
      <w:r>
        <w:rPr>
          <w:rFonts w:hint="eastAsia" w:ascii="黑体" w:hAnsi="黑体" w:eastAsia="黑体" w:cs="Times New Roman"/>
          <w:sz w:val="32"/>
          <w:szCs w:val="32"/>
        </w:rPr>
        <w:t>一</w:t>
      </w:r>
      <w:r>
        <w:rPr>
          <w:rFonts w:hint="eastAsia" w:ascii="黑体" w:hAnsi="黑体" w:eastAsia="黑体" w:cs="Times New Roman"/>
          <w:sz w:val="32"/>
          <w:szCs w:val="32"/>
          <w:lang w:eastAsia="zh-CN"/>
        </w:rPr>
        <w:t>、</w:t>
      </w:r>
      <w:r>
        <w:rPr>
          <w:rFonts w:hint="eastAsia" w:ascii="黑体" w:hAnsi="黑体" w:eastAsia="黑体" w:cs="Times New Roman"/>
          <w:sz w:val="32"/>
          <w:szCs w:val="32"/>
        </w:rPr>
        <w:t>收入支出决算总体情况</w:t>
      </w:r>
      <w:r>
        <w:rPr>
          <w:rFonts w:hint="eastAsia" w:ascii="黑体" w:hAnsi="黑体" w:eastAsia="黑体" w:cs="Times New Roman"/>
          <w:sz w:val="32"/>
          <w:szCs w:val="32"/>
          <w:lang w:eastAsia="zh-CN"/>
        </w:rPr>
        <w:t>说明</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2019年度收、支总计</w:t>
      </w:r>
      <w:r>
        <w:rPr>
          <w:rFonts w:hint="eastAsia" w:ascii="仿宋_GB2312" w:eastAsia="仿宋_GB2312"/>
          <w:sz w:val="32"/>
          <w:szCs w:val="32"/>
          <w:lang w:val="en-US" w:eastAsia="zh-CN"/>
        </w:rPr>
        <w:t>186.23</w:t>
      </w:r>
      <w:r>
        <w:rPr>
          <w:rFonts w:hint="eastAsia" w:ascii="仿宋_GB2312" w:eastAsia="仿宋_GB2312"/>
          <w:sz w:val="32"/>
          <w:szCs w:val="32"/>
        </w:rPr>
        <w:t>万元</w:t>
      </w:r>
      <w:r>
        <w:rPr>
          <w:rFonts w:hint="eastAsia" w:ascii="仿宋_GB2312" w:eastAsia="仿宋_GB2312"/>
          <w:sz w:val="32"/>
          <w:szCs w:val="32"/>
          <w:lang w:val="en-US" w:eastAsia="zh-CN"/>
        </w:rPr>
        <w:t>,188.40。</w:t>
      </w:r>
      <w:r>
        <w:rPr>
          <w:rFonts w:hint="eastAsia" w:ascii="仿宋_GB2312" w:eastAsia="仿宋_GB2312"/>
          <w:sz w:val="32"/>
          <w:szCs w:val="32"/>
        </w:rPr>
        <w:t>与2018年相比，收、支总计各</w:t>
      </w:r>
      <w:r>
        <w:rPr>
          <w:rFonts w:hint="eastAsia" w:ascii="仿宋_GB2312" w:eastAsia="仿宋_GB2312"/>
          <w:sz w:val="32"/>
          <w:szCs w:val="32"/>
          <w:lang w:eastAsia="zh-CN"/>
        </w:rPr>
        <w:t>收入</w:t>
      </w:r>
      <w:r>
        <w:rPr>
          <w:rFonts w:hint="eastAsia" w:ascii="仿宋_GB2312" w:eastAsia="仿宋_GB2312"/>
          <w:sz w:val="32"/>
          <w:szCs w:val="32"/>
        </w:rPr>
        <w:t>增加</w:t>
      </w:r>
      <w:r>
        <w:rPr>
          <w:rFonts w:hint="eastAsia" w:ascii="仿宋_GB2312" w:eastAsia="仿宋_GB2312"/>
          <w:sz w:val="32"/>
          <w:szCs w:val="32"/>
          <w:lang w:val="en-US" w:eastAsia="zh-CN"/>
        </w:rPr>
        <w:t>0.81</w:t>
      </w:r>
      <w:r>
        <w:rPr>
          <w:rFonts w:hint="eastAsia" w:ascii="仿宋_GB2312" w:eastAsia="仿宋_GB2312"/>
          <w:sz w:val="32"/>
          <w:szCs w:val="32"/>
        </w:rPr>
        <w:t>万元，</w:t>
      </w:r>
      <w:r>
        <w:rPr>
          <w:rFonts w:hint="eastAsia" w:ascii="仿宋_GB2312" w:eastAsia="仿宋_GB2312"/>
          <w:sz w:val="32"/>
          <w:szCs w:val="32"/>
          <w:lang w:eastAsia="zh-CN"/>
        </w:rPr>
        <w:t>支出减少</w:t>
      </w:r>
      <w:r>
        <w:rPr>
          <w:rFonts w:hint="eastAsia" w:ascii="仿宋_GB2312" w:eastAsia="仿宋_GB2312"/>
          <w:sz w:val="32"/>
          <w:szCs w:val="32"/>
          <w:lang w:val="en-US" w:eastAsia="zh-CN"/>
        </w:rPr>
        <w:t>1.30万元。</w:t>
      </w:r>
      <w:r>
        <w:rPr>
          <w:rFonts w:hint="eastAsia" w:ascii="仿宋_GB2312" w:eastAsia="仿宋_GB2312"/>
          <w:sz w:val="32"/>
          <w:szCs w:val="32"/>
        </w:rPr>
        <w:t xml:space="preserve">增长 </w:t>
      </w:r>
      <w:r>
        <w:rPr>
          <w:rFonts w:hint="eastAsia" w:ascii="仿宋_GB2312" w:eastAsia="仿宋_GB2312"/>
          <w:sz w:val="32"/>
          <w:szCs w:val="32"/>
          <w:lang w:val="en-US" w:eastAsia="zh-CN"/>
        </w:rPr>
        <w:t>0.44</w:t>
      </w:r>
      <w:r>
        <w:rPr>
          <w:rFonts w:hint="eastAsia" w:ascii="仿宋_GB2312" w:eastAsia="仿宋_GB2312"/>
          <w:sz w:val="32"/>
          <w:szCs w:val="32"/>
        </w:rPr>
        <w:t xml:space="preserve">  %</w:t>
      </w:r>
      <w:r>
        <w:rPr>
          <w:rFonts w:hint="eastAsia" w:ascii="仿宋_GB2312" w:eastAsia="仿宋_GB2312"/>
          <w:sz w:val="32"/>
          <w:szCs w:val="32"/>
          <w:lang w:eastAsia="zh-CN"/>
        </w:rPr>
        <w:t>，减少</w:t>
      </w:r>
      <w:r>
        <w:rPr>
          <w:rFonts w:hint="eastAsia" w:ascii="仿宋_GB2312" w:eastAsia="仿宋_GB2312"/>
          <w:sz w:val="32"/>
          <w:szCs w:val="32"/>
          <w:lang w:val="en-US" w:eastAsia="zh-CN"/>
        </w:rPr>
        <w:t>0.69</w:t>
      </w:r>
      <w:r>
        <w:rPr>
          <w:rFonts w:hint="eastAsia" w:ascii="仿宋_GB2312" w:eastAsia="仿宋_GB2312"/>
          <w:sz w:val="32"/>
          <w:szCs w:val="32"/>
        </w:rPr>
        <w:t>%。主要是</w:t>
      </w:r>
      <w:r>
        <w:rPr>
          <w:rFonts w:hint="eastAsia" w:ascii="仿宋_GB2312" w:eastAsia="仿宋_GB2312"/>
          <w:sz w:val="32"/>
          <w:szCs w:val="32"/>
          <w:lang w:eastAsia="zh-CN"/>
        </w:rPr>
        <w:t>收入中增加了人员的绩效工资，支出减少原因是响应国家厉行勤俭节约的号召，减少支出</w:t>
      </w:r>
      <w:r>
        <w:rPr>
          <w:rFonts w:hint="eastAsia" w:ascii="仿宋_GB2312" w:eastAsia="仿宋_GB2312"/>
          <w:sz w:val="32"/>
          <w:szCs w:val="32"/>
        </w:rPr>
        <w:t>。</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drawing>
          <wp:anchor distT="0" distB="0" distL="114300" distR="114300" simplePos="0" relativeHeight="251672576" behindDoc="0" locked="0" layoutInCell="1" allowOverlap="1">
            <wp:simplePos x="0" y="0"/>
            <wp:positionH relativeFrom="column">
              <wp:posOffset>286385</wp:posOffset>
            </wp:positionH>
            <wp:positionV relativeFrom="paragraph">
              <wp:posOffset>297815</wp:posOffset>
            </wp:positionV>
            <wp:extent cx="4661535" cy="2592070"/>
            <wp:effectExtent l="4445" t="4445" r="20320" b="13335"/>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pPr>
        <w:spacing w:line="580" w:lineRule="exact"/>
        <w:ind w:firstLine="640" w:firstLineChars="200"/>
        <w:rPr>
          <w:rFonts w:hint="eastAsia" w:ascii="仿宋_GB2312" w:eastAsia="仿宋_GB2312"/>
          <w:sz w:val="32"/>
          <w:szCs w:val="32"/>
          <w:lang w:eastAsia="zh-CN"/>
        </w:rPr>
      </w:pPr>
    </w:p>
    <w:p>
      <w:pPr>
        <w:spacing w:line="580" w:lineRule="exact"/>
        <w:rPr>
          <w:rFonts w:hint="eastAsia" w:ascii="仿宋_GB2312" w:eastAsia="仿宋_GB2312"/>
          <w:b/>
          <w:sz w:val="32"/>
          <w:szCs w:val="32"/>
          <w:lang w:eastAsia="zh-CN"/>
        </w:rPr>
      </w:pPr>
    </w:p>
    <w:p/>
    <w:p/>
    <w:p/>
    <w:p/>
    <w:p/>
    <w:p/>
    <w:p/>
    <w:p/>
    <w:p/>
    <w:p/>
    <w:p>
      <w:pPr>
        <w:ind w:firstLine="640" w:firstLineChars="200"/>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二、收入决算情况说明</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本年收入合计</w:t>
      </w:r>
      <w:r>
        <w:rPr>
          <w:rFonts w:hint="eastAsia" w:ascii="仿宋_GB2312" w:eastAsia="仿宋_GB2312"/>
          <w:sz w:val="32"/>
          <w:szCs w:val="32"/>
          <w:lang w:val="en-US" w:eastAsia="zh-CN"/>
        </w:rPr>
        <w:t>186.23</w:t>
      </w:r>
      <w:r>
        <w:rPr>
          <w:rFonts w:hint="eastAsia" w:ascii="仿宋_GB2312" w:eastAsia="仿宋_GB2312"/>
          <w:sz w:val="32"/>
          <w:szCs w:val="32"/>
        </w:rPr>
        <w:t>万元，其中：财政拨款收入</w:t>
      </w:r>
      <w:r>
        <w:rPr>
          <w:rFonts w:hint="eastAsia" w:ascii="仿宋_GB2312" w:eastAsia="仿宋_GB2312"/>
          <w:sz w:val="32"/>
          <w:szCs w:val="32"/>
          <w:lang w:val="en-US" w:eastAsia="zh-CN"/>
        </w:rPr>
        <w:t>186.23</w:t>
      </w:r>
      <w:r>
        <w:rPr>
          <w:rFonts w:hint="eastAsia" w:ascii="仿宋_GB2312" w:eastAsia="仿宋_GB2312"/>
          <w:sz w:val="32"/>
          <w:szCs w:val="32"/>
        </w:rPr>
        <w:t xml:space="preserve"> 万元，占</w:t>
      </w:r>
      <w:r>
        <w:rPr>
          <w:rFonts w:hint="eastAsia" w:ascii="仿宋_GB2312" w:eastAsia="仿宋_GB2312"/>
          <w:sz w:val="32"/>
          <w:szCs w:val="32"/>
          <w:lang w:val="en-US" w:eastAsia="zh-CN"/>
        </w:rPr>
        <w:t>100</w:t>
      </w:r>
      <w:r>
        <w:rPr>
          <w:rFonts w:hint="eastAsia" w:ascii="仿宋_GB2312" w:eastAsia="仿宋_GB2312"/>
          <w:sz w:val="32"/>
          <w:szCs w:val="32"/>
        </w:rPr>
        <w:t xml:space="preserve"> %；上级补助收入</w:t>
      </w:r>
      <w:r>
        <w:rPr>
          <w:rFonts w:hint="eastAsia" w:ascii="仿宋_GB2312" w:eastAsia="仿宋_GB2312"/>
          <w:sz w:val="32"/>
          <w:szCs w:val="32"/>
          <w:lang w:val="en-US" w:eastAsia="zh-CN"/>
        </w:rPr>
        <w:t>0</w:t>
      </w:r>
      <w:r>
        <w:rPr>
          <w:rFonts w:hint="eastAsia" w:ascii="仿宋_GB2312" w:eastAsia="仿宋_GB2312"/>
          <w:sz w:val="32"/>
          <w:szCs w:val="32"/>
        </w:rPr>
        <w:t xml:space="preserve"> 万元，占 </w:t>
      </w:r>
      <w:r>
        <w:rPr>
          <w:rFonts w:hint="eastAsia" w:ascii="仿宋_GB2312" w:eastAsia="仿宋_GB2312"/>
          <w:sz w:val="32"/>
          <w:szCs w:val="32"/>
          <w:lang w:val="en-US" w:eastAsia="zh-CN"/>
        </w:rPr>
        <w:t>0</w:t>
      </w:r>
      <w:r>
        <w:rPr>
          <w:rFonts w:hint="eastAsia" w:ascii="仿宋_GB2312" w:eastAsia="仿宋_GB2312"/>
          <w:sz w:val="32"/>
          <w:szCs w:val="32"/>
        </w:rPr>
        <w:t xml:space="preserve"> %；其他收入</w:t>
      </w:r>
      <w:r>
        <w:rPr>
          <w:rFonts w:hint="eastAsia" w:ascii="仿宋_GB2312" w:eastAsia="仿宋_GB2312"/>
          <w:sz w:val="32"/>
          <w:szCs w:val="32"/>
          <w:lang w:val="en-US" w:eastAsia="zh-CN"/>
        </w:rPr>
        <w:t>0</w:t>
      </w:r>
      <w:r>
        <w:rPr>
          <w:rFonts w:hint="eastAsia" w:ascii="仿宋_GB2312" w:eastAsia="仿宋_GB2312"/>
          <w:sz w:val="32"/>
          <w:szCs w:val="32"/>
        </w:rPr>
        <w:t xml:space="preserve"> 万元，占 </w:t>
      </w:r>
      <w:r>
        <w:rPr>
          <w:rFonts w:hint="eastAsia" w:ascii="仿宋_GB2312" w:eastAsia="仿宋_GB2312"/>
          <w:sz w:val="32"/>
          <w:szCs w:val="32"/>
          <w:lang w:val="en-US" w:eastAsia="zh-CN"/>
        </w:rPr>
        <w:t>0</w:t>
      </w:r>
      <w:r>
        <w:rPr>
          <w:rFonts w:hint="eastAsia" w:ascii="仿宋_GB2312" w:eastAsia="仿宋_GB2312"/>
          <w:sz w:val="32"/>
          <w:szCs w:val="32"/>
        </w:rPr>
        <w:t xml:space="preserve"> %。</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drawing>
          <wp:anchor distT="0" distB="0" distL="114300" distR="114300" simplePos="0" relativeHeight="251659264" behindDoc="0" locked="0" layoutInCell="1" allowOverlap="1">
            <wp:simplePos x="0" y="0"/>
            <wp:positionH relativeFrom="column">
              <wp:posOffset>566420</wp:posOffset>
            </wp:positionH>
            <wp:positionV relativeFrom="paragraph">
              <wp:posOffset>193675</wp:posOffset>
            </wp:positionV>
            <wp:extent cx="4553585" cy="1696720"/>
            <wp:effectExtent l="4445" t="4445" r="13970" b="13335"/>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ind w:firstLine="640" w:firstLineChars="200"/>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三、支出决算情况说明</w:t>
      </w:r>
    </w:p>
    <w:p>
      <w:pPr>
        <w:spacing w:line="580" w:lineRule="exact"/>
        <w:ind w:firstLine="643" w:firstLineChars="200"/>
        <w:rPr>
          <w:rFonts w:ascii="仿宋_GB2312" w:eastAsia="仿宋_GB2312"/>
          <w:sz w:val="32"/>
          <w:szCs w:val="32"/>
        </w:rPr>
      </w:pPr>
      <w:r>
        <w:rPr>
          <w:rFonts w:hint="eastAsia" w:ascii="仿宋_GB2312" w:eastAsia="仿宋_GB2312"/>
          <w:b/>
          <w:sz w:val="32"/>
          <w:szCs w:val="32"/>
          <w:lang w:eastAsia="zh-CN"/>
        </w:rPr>
        <w:drawing>
          <wp:anchor distT="0" distB="0" distL="114300" distR="114300" simplePos="0" relativeHeight="251660288" behindDoc="0" locked="0" layoutInCell="1" allowOverlap="1">
            <wp:simplePos x="0" y="0"/>
            <wp:positionH relativeFrom="column">
              <wp:posOffset>532130</wp:posOffset>
            </wp:positionH>
            <wp:positionV relativeFrom="paragraph">
              <wp:posOffset>1081405</wp:posOffset>
            </wp:positionV>
            <wp:extent cx="4273550" cy="1862455"/>
            <wp:effectExtent l="4445" t="4445" r="8255" b="19050"/>
            <wp:wrapNone/>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Pr>
          <w:rFonts w:hint="eastAsia" w:ascii="仿宋_GB2312" w:eastAsia="仿宋_GB2312"/>
          <w:sz w:val="32"/>
          <w:szCs w:val="32"/>
        </w:rPr>
        <w:t>本年支出合计</w:t>
      </w:r>
      <w:r>
        <w:rPr>
          <w:rFonts w:hint="eastAsia" w:ascii="仿宋_GB2312" w:eastAsia="仿宋_GB2312"/>
          <w:sz w:val="32"/>
          <w:szCs w:val="32"/>
          <w:lang w:val="en-US" w:eastAsia="zh-CN"/>
        </w:rPr>
        <w:t>188.40</w:t>
      </w:r>
      <w:r>
        <w:rPr>
          <w:rFonts w:hint="eastAsia" w:ascii="仿宋_GB2312" w:eastAsia="仿宋_GB2312"/>
          <w:sz w:val="32"/>
          <w:szCs w:val="32"/>
        </w:rPr>
        <w:t xml:space="preserve"> 万元，其中：基本支出 </w:t>
      </w:r>
      <w:r>
        <w:rPr>
          <w:rFonts w:hint="eastAsia" w:ascii="仿宋_GB2312" w:eastAsia="仿宋_GB2312"/>
          <w:sz w:val="32"/>
          <w:szCs w:val="32"/>
          <w:lang w:val="en-US" w:eastAsia="zh-CN"/>
        </w:rPr>
        <w:t>179.96</w:t>
      </w:r>
      <w:r>
        <w:rPr>
          <w:rFonts w:hint="eastAsia" w:ascii="仿宋_GB2312" w:eastAsia="仿宋_GB2312"/>
          <w:sz w:val="32"/>
          <w:szCs w:val="32"/>
        </w:rPr>
        <w:t xml:space="preserve">万元，占 </w:t>
      </w:r>
      <w:r>
        <w:rPr>
          <w:rFonts w:hint="eastAsia" w:ascii="仿宋_GB2312" w:eastAsia="仿宋_GB2312"/>
          <w:sz w:val="32"/>
          <w:szCs w:val="32"/>
          <w:lang w:val="en-US" w:eastAsia="zh-CN"/>
        </w:rPr>
        <w:t>95.52</w:t>
      </w:r>
      <w:r>
        <w:rPr>
          <w:rFonts w:hint="eastAsia" w:ascii="仿宋_GB2312" w:eastAsia="仿宋_GB2312"/>
          <w:sz w:val="32"/>
          <w:szCs w:val="32"/>
        </w:rPr>
        <w:t xml:space="preserve"> %；项目支出 </w:t>
      </w:r>
      <w:r>
        <w:rPr>
          <w:rFonts w:hint="eastAsia" w:ascii="仿宋_GB2312" w:eastAsia="仿宋_GB2312"/>
          <w:sz w:val="32"/>
          <w:szCs w:val="32"/>
          <w:lang w:val="en-US" w:eastAsia="zh-CN"/>
        </w:rPr>
        <w:t>8.43</w:t>
      </w:r>
      <w:r>
        <w:rPr>
          <w:rFonts w:hint="eastAsia" w:ascii="仿宋_GB2312" w:eastAsia="仿宋_GB2312"/>
          <w:sz w:val="32"/>
          <w:szCs w:val="32"/>
        </w:rPr>
        <w:t xml:space="preserve">万元，占 </w:t>
      </w:r>
      <w:r>
        <w:rPr>
          <w:rFonts w:hint="eastAsia" w:ascii="仿宋_GB2312" w:eastAsia="仿宋_GB2312"/>
          <w:sz w:val="32"/>
          <w:szCs w:val="32"/>
          <w:lang w:val="en-US" w:eastAsia="zh-CN"/>
        </w:rPr>
        <w:t>4.78</w:t>
      </w:r>
      <w:r>
        <w:rPr>
          <w:rFonts w:hint="eastAsia" w:ascii="仿宋_GB2312" w:eastAsia="仿宋_GB2312"/>
          <w:sz w:val="32"/>
          <w:szCs w:val="32"/>
        </w:rPr>
        <w:t xml:space="preserve"> %；对附属单位补助支出 </w:t>
      </w:r>
      <w:r>
        <w:rPr>
          <w:rFonts w:hint="eastAsia" w:ascii="仿宋_GB2312" w:eastAsia="仿宋_GB2312"/>
          <w:sz w:val="32"/>
          <w:szCs w:val="32"/>
          <w:lang w:val="en-US" w:eastAsia="zh-CN"/>
        </w:rPr>
        <w:t>0</w:t>
      </w:r>
      <w:r>
        <w:rPr>
          <w:rFonts w:hint="eastAsia" w:ascii="仿宋_GB2312" w:eastAsia="仿宋_GB2312"/>
          <w:sz w:val="32"/>
          <w:szCs w:val="32"/>
        </w:rPr>
        <w:t xml:space="preserve">万元，占 </w:t>
      </w:r>
      <w:r>
        <w:rPr>
          <w:rFonts w:hint="eastAsia" w:ascii="仿宋_GB2312" w:eastAsia="仿宋_GB2312"/>
          <w:sz w:val="32"/>
          <w:szCs w:val="32"/>
          <w:lang w:val="en-US" w:eastAsia="zh-CN"/>
        </w:rPr>
        <w:t>0</w:t>
      </w:r>
      <w:r>
        <w:rPr>
          <w:rFonts w:hint="eastAsia" w:ascii="仿宋_GB2312" w:eastAsia="仿宋_GB2312"/>
          <w:sz w:val="32"/>
          <w:szCs w:val="32"/>
        </w:rPr>
        <w:t xml:space="preserve"> %。</w:t>
      </w:r>
    </w:p>
    <w:p>
      <w:pPr>
        <w:spacing w:line="580" w:lineRule="exact"/>
        <w:ind w:firstLine="643" w:firstLineChars="200"/>
        <w:rPr>
          <w:rFonts w:hint="eastAsia" w:ascii="仿宋_GB2312" w:eastAsia="仿宋_GB2312"/>
          <w:b/>
          <w:sz w:val="32"/>
          <w:szCs w:val="32"/>
        </w:rPr>
      </w:pPr>
      <w:r>
        <w:rPr>
          <w:rFonts w:hint="eastAsia" w:ascii="仿宋_GB2312" w:eastAsia="仿宋_GB2312"/>
          <w:b/>
          <w:sz w:val="32"/>
          <w:szCs w:val="32"/>
        </w:rPr>
        <w:t xml:space="preserve"> </w:t>
      </w:r>
    </w:p>
    <w:p>
      <w:pPr>
        <w:spacing w:line="580" w:lineRule="exact"/>
        <w:ind w:firstLine="643" w:firstLineChars="200"/>
        <w:rPr>
          <w:rFonts w:hint="eastAsia" w:ascii="仿宋_GB2312" w:eastAsia="仿宋_GB2312"/>
          <w:b/>
          <w:sz w:val="32"/>
          <w:szCs w:val="32"/>
          <w:lang w:eastAsia="zh-CN"/>
        </w:rPr>
      </w:pPr>
    </w:p>
    <w:p>
      <w:pPr>
        <w:spacing w:line="580" w:lineRule="exact"/>
        <w:ind w:firstLine="643" w:firstLineChars="200"/>
        <w:rPr>
          <w:rFonts w:hint="eastAsia" w:ascii="仿宋_GB2312" w:eastAsia="仿宋_GB2312"/>
          <w:b/>
          <w:sz w:val="32"/>
          <w:szCs w:val="32"/>
        </w:rPr>
      </w:pPr>
    </w:p>
    <w:p>
      <w:pPr>
        <w:spacing w:line="580" w:lineRule="exact"/>
        <w:ind w:firstLine="643" w:firstLineChars="200"/>
        <w:rPr>
          <w:rFonts w:hint="eastAsia" w:ascii="仿宋_GB2312" w:eastAsia="仿宋_GB2312"/>
          <w:b/>
          <w:sz w:val="32"/>
          <w:szCs w:val="32"/>
        </w:rPr>
      </w:pPr>
    </w:p>
    <w:p>
      <w:pPr>
        <w:spacing w:line="580" w:lineRule="exact"/>
        <w:ind w:firstLine="643" w:firstLineChars="200"/>
        <w:rPr>
          <w:rFonts w:hint="eastAsia" w:ascii="仿宋_GB2312" w:eastAsia="仿宋_GB2312"/>
          <w:b/>
          <w:sz w:val="32"/>
          <w:szCs w:val="32"/>
        </w:rPr>
      </w:pPr>
    </w:p>
    <w:p>
      <w:pPr>
        <w:ind w:firstLine="640" w:firstLineChars="200"/>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四、财政拨款收入支出决算总体情况说明</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2019年度收、支总计</w:t>
      </w:r>
      <w:r>
        <w:rPr>
          <w:rFonts w:hint="eastAsia" w:ascii="仿宋_GB2312" w:eastAsia="仿宋_GB2312"/>
          <w:sz w:val="32"/>
          <w:szCs w:val="32"/>
          <w:lang w:val="en-US" w:eastAsia="zh-CN"/>
        </w:rPr>
        <w:t>186.23</w:t>
      </w:r>
      <w:r>
        <w:rPr>
          <w:rFonts w:hint="eastAsia" w:ascii="仿宋_GB2312" w:eastAsia="仿宋_GB2312"/>
          <w:sz w:val="32"/>
          <w:szCs w:val="32"/>
        </w:rPr>
        <w:t>万元</w:t>
      </w:r>
      <w:r>
        <w:rPr>
          <w:rFonts w:hint="eastAsia" w:ascii="仿宋_GB2312" w:eastAsia="仿宋_GB2312"/>
          <w:sz w:val="32"/>
          <w:szCs w:val="32"/>
          <w:lang w:val="en-US" w:eastAsia="zh-CN"/>
        </w:rPr>
        <w:t>,188.40。</w:t>
      </w:r>
      <w:r>
        <w:rPr>
          <w:rFonts w:hint="eastAsia" w:ascii="仿宋_GB2312" w:eastAsia="仿宋_GB2312"/>
          <w:sz w:val="32"/>
          <w:szCs w:val="32"/>
        </w:rPr>
        <w:t>与2018年相比，收、支总计各</w:t>
      </w:r>
      <w:r>
        <w:rPr>
          <w:rFonts w:hint="eastAsia" w:ascii="仿宋_GB2312" w:eastAsia="仿宋_GB2312"/>
          <w:sz w:val="32"/>
          <w:szCs w:val="32"/>
          <w:lang w:eastAsia="zh-CN"/>
        </w:rPr>
        <w:t>收入</w:t>
      </w:r>
      <w:r>
        <w:rPr>
          <w:rFonts w:hint="eastAsia" w:ascii="仿宋_GB2312" w:eastAsia="仿宋_GB2312"/>
          <w:sz w:val="32"/>
          <w:szCs w:val="32"/>
        </w:rPr>
        <w:t>增加</w:t>
      </w:r>
      <w:r>
        <w:rPr>
          <w:rFonts w:hint="eastAsia" w:ascii="仿宋_GB2312" w:eastAsia="仿宋_GB2312"/>
          <w:sz w:val="32"/>
          <w:szCs w:val="32"/>
          <w:lang w:val="en-US" w:eastAsia="zh-CN"/>
        </w:rPr>
        <w:t>0.81</w:t>
      </w:r>
      <w:r>
        <w:rPr>
          <w:rFonts w:hint="eastAsia" w:ascii="仿宋_GB2312" w:eastAsia="仿宋_GB2312"/>
          <w:sz w:val="32"/>
          <w:szCs w:val="32"/>
        </w:rPr>
        <w:t>万元，</w:t>
      </w:r>
      <w:r>
        <w:rPr>
          <w:rFonts w:hint="eastAsia" w:ascii="仿宋_GB2312" w:eastAsia="仿宋_GB2312"/>
          <w:sz w:val="32"/>
          <w:szCs w:val="32"/>
          <w:lang w:eastAsia="zh-CN"/>
        </w:rPr>
        <w:t>支出减少</w:t>
      </w:r>
      <w:r>
        <w:rPr>
          <w:rFonts w:hint="eastAsia" w:ascii="仿宋_GB2312" w:eastAsia="仿宋_GB2312"/>
          <w:sz w:val="32"/>
          <w:szCs w:val="32"/>
          <w:lang w:val="en-US" w:eastAsia="zh-CN"/>
        </w:rPr>
        <w:t>1.30万元。</w:t>
      </w:r>
      <w:r>
        <w:rPr>
          <w:rFonts w:hint="eastAsia" w:ascii="仿宋_GB2312" w:eastAsia="仿宋_GB2312"/>
          <w:sz w:val="32"/>
          <w:szCs w:val="32"/>
        </w:rPr>
        <w:t xml:space="preserve">增长 </w:t>
      </w:r>
      <w:r>
        <w:rPr>
          <w:rFonts w:hint="eastAsia" w:ascii="仿宋_GB2312" w:eastAsia="仿宋_GB2312"/>
          <w:sz w:val="32"/>
          <w:szCs w:val="32"/>
          <w:lang w:val="en-US" w:eastAsia="zh-CN"/>
        </w:rPr>
        <w:t>0.44</w:t>
      </w:r>
      <w:r>
        <w:rPr>
          <w:rFonts w:hint="eastAsia" w:ascii="仿宋_GB2312" w:eastAsia="仿宋_GB2312"/>
          <w:sz w:val="32"/>
          <w:szCs w:val="32"/>
        </w:rPr>
        <w:t xml:space="preserve">  %</w:t>
      </w:r>
      <w:r>
        <w:rPr>
          <w:rFonts w:hint="eastAsia" w:ascii="仿宋_GB2312" w:eastAsia="仿宋_GB2312"/>
          <w:sz w:val="32"/>
          <w:szCs w:val="32"/>
          <w:lang w:eastAsia="zh-CN"/>
        </w:rPr>
        <w:t>，减少</w:t>
      </w:r>
      <w:r>
        <w:rPr>
          <w:rFonts w:hint="eastAsia" w:ascii="仿宋_GB2312" w:eastAsia="仿宋_GB2312"/>
          <w:sz w:val="32"/>
          <w:szCs w:val="32"/>
          <w:lang w:val="en-US" w:eastAsia="zh-CN"/>
        </w:rPr>
        <w:t>0.69</w:t>
      </w:r>
      <w:r>
        <w:rPr>
          <w:rFonts w:hint="eastAsia" w:ascii="仿宋_GB2312" w:eastAsia="仿宋_GB2312"/>
          <w:sz w:val="32"/>
          <w:szCs w:val="32"/>
        </w:rPr>
        <w:t>%。主要是</w:t>
      </w:r>
      <w:r>
        <w:rPr>
          <w:rFonts w:hint="eastAsia" w:ascii="仿宋_GB2312" w:eastAsia="仿宋_GB2312"/>
          <w:sz w:val="32"/>
          <w:szCs w:val="32"/>
          <w:lang w:eastAsia="zh-CN"/>
        </w:rPr>
        <w:t>收入中增加了人员的绩效工资，支出减少原因是响应国家厉行勤俭节约的号召，减少支出</w:t>
      </w:r>
      <w:r>
        <w:rPr>
          <w:rFonts w:hint="eastAsia" w:ascii="仿宋_GB2312" w:eastAsia="仿宋_GB2312"/>
          <w:sz w:val="32"/>
          <w:szCs w:val="32"/>
        </w:rPr>
        <w:t>。</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drawing>
          <wp:anchor distT="0" distB="0" distL="114300" distR="114300" simplePos="0" relativeHeight="251673600" behindDoc="0" locked="0" layoutInCell="1" allowOverlap="1">
            <wp:simplePos x="0" y="0"/>
            <wp:positionH relativeFrom="column">
              <wp:posOffset>295910</wp:posOffset>
            </wp:positionH>
            <wp:positionV relativeFrom="paragraph">
              <wp:posOffset>297815</wp:posOffset>
            </wp:positionV>
            <wp:extent cx="4852035" cy="2953385"/>
            <wp:effectExtent l="4445" t="4445" r="20320" b="13970"/>
            <wp:wrapNone/>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pPr>
        <w:spacing w:line="580" w:lineRule="exact"/>
        <w:ind w:firstLine="640" w:firstLineChars="200"/>
        <w:rPr>
          <w:rFonts w:hint="eastAsia" w:ascii="仿宋_GB2312" w:eastAsia="仿宋_GB2312"/>
          <w:sz w:val="32"/>
          <w:szCs w:val="32"/>
          <w:lang w:eastAsia="zh-CN"/>
        </w:rPr>
      </w:pPr>
    </w:p>
    <w:p>
      <w:pPr>
        <w:spacing w:line="580" w:lineRule="exact"/>
        <w:rPr>
          <w:rFonts w:hint="eastAsia" w:ascii="仿宋_GB2312" w:eastAsia="仿宋_GB2312"/>
          <w:b/>
          <w:sz w:val="32"/>
          <w:szCs w:val="32"/>
          <w:lang w:eastAsia="zh-CN"/>
        </w:rPr>
      </w:pPr>
    </w:p>
    <w:p/>
    <w:p/>
    <w:p/>
    <w:p/>
    <w:p/>
    <w:p/>
    <w:p/>
    <w:p/>
    <w:p/>
    <w:p/>
    <w:p>
      <w:pPr>
        <w:ind w:firstLine="640" w:firstLineChars="200"/>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五、一般公共预算财政拨款支出决算情况说明</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（一）一般公共预算财政拨款支出决算总体情况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2019</w:t>
      </w:r>
      <w:r>
        <w:rPr>
          <w:rFonts w:hint="eastAsia" w:ascii="仿宋_GB2312" w:eastAsia="仿宋_GB2312"/>
          <w:sz w:val="32"/>
          <w:szCs w:val="32"/>
        </w:rPr>
        <w:t>年度一般公共预算财政拨款支出</w:t>
      </w:r>
      <w:r>
        <w:rPr>
          <w:rFonts w:hint="eastAsia" w:ascii="仿宋_GB2312" w:eastAsia="仿宋_GB2312"/>
          <w:sz w:val="32"/>
          <w:szCs w:val="32"/>
          <w:lang w:val="en-US" w:eastAsia="zh-CN"/>
        </w:rPr>
        <w:t>188.40</w:t>
      </w:r>
      <w:r>
        <w:rPr>
          <w:rFonts w:hint="eastAsia" w:ascii="仿宋_GB2312" w:eastAsia="仿宋_GB2312"/>
          <w:sz w:val="32"/>
          <w:szCs w:val="32"/>
        </w:rPr>
        <w:t xml:space="preserve">万元，占本年支出合计的 </w:t>
      </w:r>
      <w:r>
        <w:rPr>
          <w:rFonts w:hint="eastAsia" w:ascii="仿宋_GB2312" w:eastAsia="仿宋_GB2312"/>
          <w:sz w:val="32"/>
          <w:szCs w:val="32"/>
          <w:lang w:val="en-US" w:eastAsia="zh-CN"/>
        </w:rPr>
        <w:t>100</w:t>
      </w:r>
      <w:r>
        <w:rPr>
          <w:rFonts w:hint="eastAsia" w:ascii="仿宋_GB2312" w:eastAsia="仿宋_GB2312"/>
          <w:sz w:val="32"/>
          <w:szCs w:val="32"/>
        </w:rPr>
        <w:t xml:space="preserve"> %。与</w:t>
      </w:r>
      <w:r>
        <w:rPr>
          <w:rFonts w:hint="eastAsia" w:ascii="仿宋_GB2312" w:eastAsia="仿宋_GB2312"/>
          <w:sz w:val="32"/>
          <w:szCs w:val="32"/>
          <w:lang w:eastAsia="zh-CN"/>
        </w:rPr>
        <w:t>2018</w:t>
      </w:r>
      <w:r>
        <w:rPr>
          <w:rFonts w:hint="eastAsia" w:ascii="仿宋_GB2312" w:eastAsia="仿宋_GB2312"/>
          <w:sz w:val="32"/>
          <w:szCs w:val="32"/>
        </w:rPr>
        <w:t>年相比，一般公共预算财政拨款支出减少</w:t>
      </w:r>
      <w:r>
        <w:rPr>
          <w:rFonts w:hint="eastAsia" w:ascii="仿宋_GB2312" w:eastAsia="仿宋_GB2312"/>
          <w:sz w:val="32"/>
          <w:szCs w:val="32"/>
          <w:lang w:val="en-US" w:eastAsia="zh-CN"/>
        </w:rPr>
        <w:t>1.30</w:t>
      </w:r>
      <w:r>
        <w:rPr>
          <w:rFonts w:hint="eastAsia" w:ascii="仿宋_GB2312" w:eastAsia="仿宋_GB2312"/>
          <w:sz w:val="32"/>
          <w:szCs w:val="32"/>
        </w:rPr>
        <w:t>万元，减少</w:t>
      </w:r>
      <w:r>
        <w:rPr>
          <w:rFonts w:hint="eastAsia" w:ascii="仿宋_GB2312" w:eastAsia="仿宋_GB2312"/>
          <w:sz w:val="32"/>
          <w:szCs w:val="32"/>
          <w:lang w:val="en-US" w:eastAsia="zh-CN"/>
        </w:rPr>
        <w:t>0.7</w:t>
      </w:r>
      <w:r>
        <w:rPr>
          <w:rFonts w:hint="eastAsia" w:ascii="仿宋_GB2312" w:eastAsia="仿宋_GB2312"/>
          <w:sz w:val="32"/>
          <w:szCs w:val="32"/>
        </w:rPr>
        <w:t>%。主要是</w:t>
      </w:r>
      <w:r>
        <w:rPr>
          <w:rFonts w:hint="eastAsia" w:ascii="仿宋_GB2312" w:eastAsia="仿宋_GB2312"/>
          <w:sz w:val="32"/>
          <w:szCs w:val="32"/>
          <w:lang w:eastAsia="zh-CN"/>
        </w:rPr>
        <w:t>响应国家厉行勤俭节约的号召，减少支出</w:t>
      </w:r>
      <w:r>
        <w:rPr>
          <w:rFonts w:hint="eastAsia" w:ascii="仿宋_GB2312" w:eastAsia="仿宋_GB2312"/>
          <w:sz w:val="32"/>
          <w:szCs w:val="32"/>
        </w:rPr>
        <w:t>。</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drawing>
          <wp:anchor distT="0" distB="0" distL="114300" distR="114300" simplePos="0" relativeHeight="251662336" behindDoc="0" locked="0" layoutInCell="1" allowOverlap="1">
            <wp:simplePos x="0" y="0"/>
            <wp:positionH relativeFrom="column">
              <wp:posOffset>361315</wp:posOffset>
            </wp:positionH>
            <wp:positionV relativeFrom="paragraph">
              <wp:posOffset>79375</wp:posOffset>
            </wp:positionV>
            <wp:extent cx="4577080" cy="1800860"/>
            <wp:effectExtent l="4445" t="5080" r="9525" b="2286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rPr>
          <w:rFonts w:hint="eastAsia" w:ascii="仿宋_GB2312" w:eastAsia="仿宋_GB2312"/>
          <w:sz w:val="32"/>
          <w:szCs w:val="32"/>
        </w:rPr>
      </w:pPr>
    </w:p>
    <w:p>
      <w:pPr>
        <w:spacing w:line="580" w:lineRule="exact"/>
        <w:ind w:firstLine="640" w:firstLineChars="200"/>
        <w:rPr>
          <w:rFonts w:ascii="仿宋_GB2312" w:eastAsia="仿宋_GB2312"/>
          <w:sz w:val="32"/>
          <w:szCs w:val="32"/>
        </w:rPr>
      </w:pPr>
      <w:r>
        <w:rPr>
          <w:rFonts w:hint="eastAsia" w:ascii="仿宋_GB2312" w:eastAsia="仿宋_GB2312"/>
          <w:sz w:val="32"/>
          <w:szCs w:val="32"/>
          <w:lang w:eastAsia="zh-CN"/>
        </w:rPr>
        <w:t>（二）</w:t>
      </w:r>
      <w:r>
        <w:rPr>
          <w:rFonts w:hint="eastAsia" w:ascii="仿宋_GB2312" w:eastAsia="仿宋_GB2312"/>
          <w:sz w:val="32"/>
          <w:szCs w:val="32"/>
        </w:rPr>
        <w:t>一般公共预算财政拨款支出决算结构情况</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2019</w:t>
      </w:r>
      <w:r>
        <w:rPr>
          <w:rFonts w:hint="eastAsia" w:ascii="仿宋_GB2312" w:eastAsia="仿宋_GB2312"/>
          <w:sz w:val="32"/>
          <w:szCs w:val="32"/>
        </w:rPr>
        <w:t xml:space="preserve">年度一般公共预算财政拨款支出 </w:t>
      </w:r>
      <w:r>
        <w:rPr>
          <w:rFonts w:hint="eastAsia" w:ascii="仿宋_GB2312" w:eastAsia="仿宋_GB2312"/>
          <w:sz w:val="32"/>
          <w:szCs w:val="32"/>
          <w:lang w:val="en-US" w:eastAsia="zh-CN"/>
        </w:rPr>
        <w:t>188.40</w:t>
      </w:r>
      <w:r>
        <w:rPr>
          <w:rFonts w:hint="eastAsia" w:ascii="仿宋_GB2312" w:eastAsia="仿宋_GB2312"/>
          <w:sz w:val="32"/>
          <w:szCs w:val="32"/>
        </w:rPr>
        <w:t>万元，主要用于以下方面：一般公共服务（类）支出</w:t>
      </w:r>
      <w:r>
        <w:rPr>
          <w:rFonts w:hint="eastAsia" w:ascii="仿宋_GB2312" w:eastAsia="仿宋_GB2312"/>
          <w:sz w:val="32"/>
          <w:szCs w:val="32"/>
          <w:lang w:val="en-US" w:eastAsia="zh-CN"/>
        </w:rPr>
        <w:t>188.40</w:t>
      </w:r>
      <w:r>
        <w:rPr>
          <w:rFonts w:hint="eastAsia" w:ascii="仿宋_GB2312" w:eastAsia="仿宋_GB2312"/>
          <w:sz w:val="32"/>
          <w:szCs w:val="32"/>
        </w:rPr>
        <w:t xml:space="preserve"> 万元，占 </w:t>
      </w:r>
      <w:r>
        <w:rPr>
          <w:rFonts w:hint="eastAsia" w:ascii="仿宋_GB2312" w:eastAsia="仿宋_GB2312"/>
          <w:sz w:val="32"/>
          <w:szCs w:val="32"/>
          <w:lang w:val="en-US" w:eastAsia="zh-CN"/>
        </w:rPr>
        <w:t>100</w:t>
      </w:r>
      <w:r>
        <w:rPr>
          <w:rFonts w:hint="eastAsia" w:ascii="仿宋_GB2312" w:eastAsia="仿宋_GB2312"/>
          <w:sz w:val="32"/>
          <w:szCs w:val="32"/>
        </w:rPr>
        <w:t xml:space="preserve"> %；国防（类）支出 </w:t>
      </w:r>
      <w:r>
        <w:rPr>
          <w:rFonts w:hint="eastAsia" w:ascii="仿宋_GB2312" w:eastAsia="仿宋_GB2312"/>
          <w:sz w:val="32"/>
          <w:szCs w:val="32"/>
          <w:lang w:val="en-US" w:eastAsia="zh-CN"/>
        </w:rPr>
        <w:t>0</w:t>
      </w:r>
      <w:r>
        <w:rPr>
          <w:rFonts w:hint="eastAsia" w:ascii="仿宋_GB2312" w:eastAsia="仿宋_GB2312"/>
          <w:sz w:val="32"/>
          <w:szCs w:val="32"/>
        </w:rPr>
        <w:t xml:space="preserve">万元，占 </w:t>
      </w:r>
      <w:r>
        <w:rPr>
          <w:rFonts w:hint="eastAsia" w:ascii="仿宋_GB2312" w:eastAsia="仿宋_GB2312"/>
          <w:sz w:val="32"/>
          <w:szCs w:val="32"/>
          <w:lang w:val="en-US" w:eastAsia="zh-CN"/>
        </w:rPr>
        <w:t>0</w:t>
      </w:r>
      <w:r>
        <w:rPr>
          <w:rFonts w:hint="eastAsia" w:ascii="仿宋_GB2312" w:eastAsia="仿宋_GB2312"/>
          <w:sz w:val="32"/>
          <w:szCs w:val="32"/>
        </w:rPr>
        <w:t xml:space="preserve"> %；公共安全（类）支出</w:t>
      </w:r>
      <w:r>
        <w:rPr>
          <w:rFonts w:hint="eastAsia" w:ascii="仿宋_GB2312" w:eastAsia="仿宋_GB2312"/>
          <w:sz w:val="32"/>
          <w:szCs w:val="32"/>
          <w:lang w:val="en-US" w:eastAsia="zh-CN"/>
        </w:rPr>
        <w:t>0</w:t>
      </w:r>
      <w:r>
        <w:rPr>
          <w:rFonts w:hint="eastAsia" w:ascii="仿宋_GB2312" w:eastAsia="仿宋_GB2312"/>
          <w:sz w:val="32"/>
          <w:szCs w:val="32"/>
        </w:rPr>
        <w:t xml:space="preserve">万元，占 </w:t>
      </w:r>
      <w:r>
        <w:rPr>
          <w:rFonts w:hint="eastAsia" w:ascii="仿宋_GB2312" w:eastAsia="仿宋_GB2312"/>
          <w:sz w:val="32"/>
          <w:szCs w:val="32"/>
          <w:lang w:val="en-US" w:eastAsia="zh-CN"/>
        </w:rPr>
        <w:t>0</w:t>
      </w:r>
      <w:r>
        <w:rPr>
          <w:rFonts w:hint="eastAsia" w:ascii="仿宋_GB2312" w:eastAsia="仿宋_GB2312"/>
          <w:sz w:val="32"/>
          <w:szCs w:val="32"/>
        </w:rPr>
        <w:t xml:space="preserve">%；教育（类）支出 </w:t>
      </w:r>
      <w:r>
        <w:rPr>
          <w:rFonts w:hint="eastAsia" w:ascii="仿宋_GB2312" w:eastAsia="仿宋_GB2312"/>
          <w:sz w:val="32"/>
          <w:szCs w:val="32"/>
          <w:lang w:val="en-US" w:eastAsia="zh-CN"/>
        </w:rPr>
        <w:t>0</w:t>
      </w:r>
      <w:r>
        <w:rPr>
          <w:rFonts w:hint="eastAsia" w:ascii="仿宋_GB2312" w:eastAsia="仿宋_GB2312"/>
          <w:sz w:val="32"/>
          <w:szCs w:val="32"/>
        </w:rPr>
        <w:t xml:space="preserve">万元，占 </w:t>
      </w:r>
      <w:r>
        <w:rPr>
          <w:rFonts w:hint="eastAsia" w:ascii="仿宋_GB2312" w:eastAsia="仿宋_GB2312"/>
          <w:sz w:val="32"/>
          <w:szCs w:val="32"/>
          <w:lang w:val="en-US" w:eastAsia="zh-CN"/>
        </w:rPr>
        <w:t>0</w:t>
      </w:r>
      <w:r>
        <w:rPr>
          <w:rFonts w:hint="eastAsia" w:ascii="仿宋_GB2312" w:eastAsia="仿宋_GB2312"/>
          <w:sz w:val="32"/>
          <w:szCs w:val="32"/>
        </w:rPr>
        <w:t xml:space="preserve"> %</w:t>
      </w:r>
      <w:r>
        <w:rPr>
          <w:rFonts w:hint="eastAsia" w:ascii="仿宋_GB2312" w:eastAsia="仿宋_GB2312"/>
          <w:sz w:val="32"/>
          <w:szCs w:val="32"/>
          <w:lang w:eastAsia="zh-CN"/>
        </w:rPr>
        <w:t>。</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drawing>
          <wp:anchor distT="0" distB="0" distL="114300" distR="114300" simplePos="0" relativeHeight="251663360" behindDoc="0" locked="0" layoutInCell="1" allowOverlap="1">
            <wp:simplePos x="0" y="0"/>
            <wp:positionH relativeFrom="column">
              <wp:posOffset>506730</wp:posOffset>
            </wp:positionH>
            <wp:positionV relativeFrom="paragraph">
              <wp:posOffset>179705</wp:posOffset>
            </wp:positionV>
            <wp:extent cx="4524375" cy="2087880"/>
            <wp:effectExtent l="4445" t="4445" r="5080" b="22225"/>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rPr>
          <w:rFonts w:ascii="仿宋_GB2312" w:eastAsia="仿宋_GB2312"/>
          <w:b/>
          <w:sz w:val="32"/>
          <w:szCs w:val="32"/>
        </w:rPr>
      </w:pPr>
    </w:p>
    <w:p>
      <w:pPr>
        <w:spacing w:line="580" w:lineRule="exact"/>
        <w:ind w:firstLine="640" w:firstLineChars="200"/>
        <w:rPr>
          <w:rFonts w:ascii="仿宋_GB2312" w:eastAsia="仿宋_GB2312"/>
          <w:sz w:val="32"/>
          <w:szCs w:val="32"/>
        </w:rPr>
      </w:pPr>
      <w:r>
        <w:rPr>
          <w:rFonts w:hint="eastAsia" w:ascii="仿宋_GB2312" w:eastAsia="仿宋_GB2312"/>
          <w:sz w:val="32"/>
          <w:szCs w:val="32"/>
          <w:lang w:eastAsia="zh-CN"/>
        </w:rPr>
        <w:t>（三）</w:t>
      </w:r>
      <w:r>
        <w:rPr>
          <w:rFonts w:hint="eastAsia" w:ascii="仿宋_GB2312" w:eastAsia="仿宋_GB2312"/>
          <w:sz w:val="32"/>
          <w:szCs w:val="32"/>
        </w:rPr>
        <w:t>一般公共预算财政拨款支出决算具体情况</w:t>
      </w:r>
    </w:p>
    <w:p>
      <w:pPr>
        <w:spacing w:line="580" w:lineRule="exact"/>
        <w:ind w:firstLine="640" w:firstLineChars="200"/>
        <w:rPr>
          <w:rFonts w:hint="eastAsia" w:ascii="仿宋_GB2312" w:eastAsia="仿宋_GB2312"/>
          <w:sz w:val="32"/>
          <w:szCs w:val="32"/>
          <w:lang w:eastAsia="zh-CN"/>
        </w:rPr>
        <w:sectPr>
          <w:pgSz w:w="11906" w:h="16838"/>
          <w:pgMar w:top="1440" w:right="1800" w:bottom="1440" w:left="1800" w:header="851" w:footer="992" w:gutter="0"/>
          <w:pgNumType w:fmt="decimal"/>
          <w:cols w:space="425" w:num="1"/>
          <w:docGrid w:type="lines" w:linePitch="312" w:charSpace="0"/>
        </w:sectPr>
      </w:pPr>
    </w:p>
    <w:p>
      <w:pPr>
        <w:spacing w:line="580" w:lineRule="exact"/>
        <w:ind w:firstLine="640" w:firstLineChars="200"/>
        <w:rPr>
          <w:rFonts w:ascii="仿宋_GB2312" w:eastAsia="仿宋_GB2312"/>
          <w:sz w:val="32"/>
          <w:szCs w:val="32"/>
        </w:rPr>
      </w:pPr>
      <w:r>
        <w:rPr>
          <w:rFonts w:hint="eastAsia" w:ascii="仿宋_GB2312" w:eastAsia="仿宋_GB2312"/>
          <w:sz w:val="32"/>
          <w:szCs w:val="32"/>
          <w:lang w:eastAsia="zh-CN"/>
        </w:rPr>
        <w:t>2019</w:t>
      </w:r>
      <w:r>
        <w:rPr>
          <w:rFonts w:hint="eastAsia" w:ascii="仿宋_GB2312" w:eastAsia="仿宋_GB2312"/>
          <w:sz w:val="32"/>
          <w:szCs w:val="32"/>
        </w:rPr>
        <w:t>年度一般公共预算财政拨款支出年初预算为</w:t>
      </w:r>
      <w:r>
        <w:rPr>
          <w:rFonts w:hint="eastAsia" w:ascii="仿宋_GB2312" w:eastAsia="仿宋_GB2312"/>
          <w:sz w:val="32"/>
          <w:szCs w:val="32"/>
          <w:lang w:val="en-US" w:eastAsia="zh-CN"/>
        </w:rPr>
        <w:t>188.40</w:t>
      </w:r>
      <w:r>
        <w:rPr>
          <w:rFonts w:hint="eastAsia" w:ascii="仿宋_GB2312" w:eastAsia="仿宋_GB2312"/>
          <w:sz w:val="32"/>
          <w:szCs w:val="32"/>
        </w:rPr>
        <w:t>万元，支出决算为</w:t>
      </w:r>
      <w:r>
        <w:rPr>
          <w:rFonts w:hint="eastAsia" w:ascii="仿宋_GB2312" w:eastAsia="仿宋_GB2312"/>
          <w:sz w:val="32"/>
          <w:szCs w:val="32"/>
          <w:lang w:val="en-US" w:eastAsia="zh-CN"/>
        </w:rPr>
        <w:t>188.40</w:t>
      </w:r>
      <w:r>
        <w:rPr>
          <w:rFonts w:hint="eastAsia" w:ascii="仿宋_GB2312" w:eastAsia="仿宋_GB2312"/>
          <w:sz w:val="32"/>
          <w:szCs w:val="32"/>
        </w:rPr>
        <w:t xml:space="preserve">万元，完成年初预算的 </w:t>
      </w:r>
      <w:r>
        <w:rPr>
          <w:rFonts w:hint="eastAsia" w:ascii="仿宋_GB2312" w:eastAsia="仿宋_GB2312"/>
          <w:sz w:val="32"/>
          <w:szCs w:val="32"/>
          <w:lang w:val="en-US" w:eastAsia="zh-CN"/>
        </w:rPr>
        <w:t>100</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决算数与年初预算基本持平。其中：</w:t>
      </w:r>
    </w:p>
    <w:p>
      <w:pPr>
        <w:numPr>
          <w:ilvl w:val="0"/>
          <w:numId w:val="0"/>
        </w:numPr>
        <w:spacing w:line="58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一般公共服务（类）财政事务（款）行政运行（项）。主要反映用于</w:t>
      </w:r>
      <w:r>
        <w:rPr>
          <w:rFonts w:hint="eastAsia" w:ascii="仿宋_GB2312" w:eastAsia="仿宋_GB2312"/>
          <w:sz w:val="32"/>
          <w:szCs w:val="32"/>
          <w:lang w:eastAsia="zh-CN"/>
        </w:rPr>
        <w:t>文化和体育项目</w:t>
      </w:r>
      <w:r>
        <w:rPr>
          <w:rFonts w:hint="eastAsia" w:ascii="仿宋_GB2312" w:eastAsia="仿宋_GB2312"/>
          <w:sz w:val="32"/>
          <w:szCs w:val="32"/>
        </w:rPr>
        <w:t>支出。年初预算为</w:t>
      </w:r>
      <w:r>
        <w:rPr>
          <w:rFonts w:hint="eastAsia" w:ascii="仿宋_GB2312" w:eastAsia="仿宋_GB2312"/>
          <w:sz w:val="32"/>
          <w:szCs w:val="32"/>
          <w:lang w:val="en-US" w:eastAsia="zh-CN"/>
        </w:rPr>
        <w:t>188.40</w:t>
      </w:r>
      <w:r>
        <w:rPr>
          <w:rFonts w:hint="eastAsia" w:ascii="仿宋_GB2312" w:eastAsia="仿宋_GB2312"/>
          <w:sz w:val="32"/>
          <w:szCs w:val="32"/>
        </w:rPr>
        <w:t>万元，支出决算为</w:t>
      </w:r>
      <w:r>
        <w:rPr>
          <w:rFonts w:hint="eastAsia" w:ascii="仿宋_GB2312" w:eastAsia="仿宋_GB2312"/>
          <w:sz w:val="32"/>
          <w:szCs w:val="32"/>
          <w:lang w:val="en-US" w:eastAsia="zh-CN"/>
        </w:rPr>
        <w:t>188.40</w:t>
      </w:r>
      <w:r>
        <w:rPr>
          <w:rFonts w:hint="eastAsia" w:ascii="仿宋_GB2312" w:eastAsia="仿宋_GB2312"/>
          <w:sz w:val="32"/>
          <w:szCs w:val="32"/>
        </w:rPr>
        <w:t>万元，完成年初预算的</w:t>
      </w:r>
      <w:r>
        <w:rPr>
          <w:rFonts w:hint="eastAsia" w:ascii="仿宋_GB2312" w:eastAsia="仿宋_GB2312"/>
          <w:sz w:val="32"/>
          <w:szCs w:val="32"/>
          <w:lang w:val="en-US" w:eastAsia="zh-CN"/>
        </w:rPr>
        <w:t>100</w:t>
      </w:r>
      <w:r>
        <w:rPr>
          <w:rFonts w:hint="eastAsia" w:ascii="仿宋_GB2312" w:eastAsia="仿宋_GB2312"/>
          <w:sz w:val="32"/>
          <w:szCs w:val="32"/>
        </w:rPr>
        <w:t xml:space="preserve"> %。</w:t>
      </w:r>
    </w:p>
    <w:p>
      <w:pPr>
        <w:numPr>
          <w:ilvl w:val="0"/>
          <w:numId w:val="0"/>
        </w:numPr>
        <w:spacing w:line="58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社会保障和就业（类）行政事业单位离退休（款）归口管理的行政单位离退休（项）。年初预算为</w:t>
      </w:r>
      <w:r>
        <w:rPr>
          <w:rFonts w:hint="eastAsia" w:ascii="仿宋_GB2312" w:eastAsia="仿宋_GB2312"/>
          <w:sz w:val="32"/>
          <w:szCs w:val="32"/>
          <w:lang w:val="en-US" w:eastAsia="zh-CN"/>
        </w:rPr>
        <w:t>0</w:t>
      </w:r>
      <w:r>
        <w:rPr>
          <w:rFonts w:hint="eastAsia" w:ascii="仿宋_GB2312" w:eastAsia="仿宋_GB2312"/>
          <w:sz w:val="32"/>
          <w:szCs w:val="32"/>
        </w:rPr>
        <w:t>万元，支出决算为</w:t>
      </w:r>
      <w:r>
        <w:rPr>
          <w:rFonts w:hint="eastAsia" w:ascii="仿宋_GB2312" w:eastAsia="仿宋_GB2312"/>
          <w:sz w:val="32"/>
          <w:szCs w:val="32"/>
          <w:lang w:val="en-US" w:eastAsia="zh-CN"/>
        </w:rPr>
        <w:t>0</w:t>
      </w:r>
      <w:r>
        <w:rPr>
          <w:rFonts w:hint="eastAsia" w:ascii="仿宋_GB2312" w:eastAsia="仿宋_GB2312"/>
          <w:sz w:val="32"/>
          <w:szCs w:val="32"/>
        </w:rPr>
        <w:t xml:space="preserve">万元，完成年初预算的 </w:t>
      </w:r>
      <w:r>
        <w:rPr>
          <w:rFonts w:hint="eastAsia" w:ascii="仿宋_GB2312" w:eastAsia="仿宋_GB2312"/>
          <w:sz w:val="32"/>
          <w:szCs w:val="32"/>
          <w:lang w:val="en-US" w:eastAsia="zh-CN"/>
        </w:rPr>
        <w:t>0</w:t>
      </w:r>
      <w:r>
        <w:rPr>
          <w:rFonts w:hint="eastAsia" w:ascii="仿宋_GB2312" w:eastAsia="仿宋_GB2312"/>
          <w:sz w:val="32"/>
          <w:szCs w:val="32"/>
        </w:rPr>
        <w:t xml:space="preserve"> %。</w:t>
      </w:r>
    </w:p>
    <w:p>
      <w:pPr>
        <w:ind w:firstLine="640" w:firstLineChars="200"/>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六、一般公共预算财政拨款基本支出决算情况说明</w:t>
      </w:r>
    </w:p>
    <w:p>
      <w:pPr>
        <w:spacing w:line="580" w:lineRule="exact"/>
        <w:ind w:firstLine="600"/>
        <w:rPr>
          <w:rFonts w:ascii="仿宋_GB2312" w:eastAsia="仿宋_GB2312"/>
          <w:sz w:val="32"/>
          <w:szCs w:val="32"/>
        </w:rPr>
      </w:pPr>
      <w:r>
        <w:rPr>
          <w:rFonts w:hint="eastAsia" w:ascii="仿宋_GB2312" w:eastAsia="仿宋_GB2312"/>
          <w:sz w:val="32"/>
          <w:szCs w:val="32"/>
          <w:lang w:eastAsia="zh-CN"/>
        </w:rPr>
        <w:t>2019</w:t>
      </w:r>
      <w:r>
        <w:rPr>
          <w:rFonts w:hint="eastAsia" w:ascii="仿宋_GB2312" w:eastAsia="仿宋_GB2312"/>
          <w:sz w:val="32"/>
          <w:szCs w:val="32"/>
        </w:rPr>
        <w:t xml:space="preserve">年度一般公共预算财政拨款基本支出决算 </w:t>
      </w:r>
      <w:r>
        <w:rPr>
          <w:rFonts w:hint="eastAsia" w:ascii="仿宋_GB2312" w:eastAsia="仿宋_GB2312"/>
          <w:sz w:val="32"/>
          <w:szCs w:val="32"/>
          <w:lang w:val="en-US" w:eastAsia="zh-CN"/>
        </w:rPr>
        <w:t>179.96</w:t>
      </w:r>
      <w:r>
        <w:rPr>
          <w:rFonts w:hint="eastAsia" w:ascii="仿宋_GB2312" w:eastAsia="仿宋_GB2312"/>
          <w:sz w:val="32"/>
          <w:szCs w:val="32"/>
        </w:rPr>
        <w:t>万元，包括人员经费和公用经费，支出具体情况如下：</w:t>
      </w:r>
    </w:p>
    <w:p>
      <w:pPr>
        <w:spacing w:line="580" w:lineRule="exact"/>
        <w:ind w:firstLine="600"/>
        <w:rPr>
          <w:rFonts w:hint="eastAsia" w:ascii="仿宋_GB2312" w:eastAsia="仿宋_GB2312"/>
          <w:sz w:val="32"/>
          <w:szCs w:val="32"/>
          <w:lang w:val="en-US" w:eastAsia="zh-CN"/>
        </w:rPr>
      </w:pPr>
      <w:r>
        <w:rPr>
          <w:rFonts w:hint="eastAsia" w:ascii="仿宋_GB2312" w:eastAsia="仿宋_GB2312"/>
          <w:sz w:val="32"/>
          <w:szCs w:val="32"/>
          <w:lang w:eastAsia="zh-CN"/>
        </w:rPr>
        <w:t>人员经费</w:t>
      </w:r>
      <w:r>
        <w:rPr>
          <w:rFonts w:hint="eastAsia" w:ascii="仿宋_GB2312" w:eastAsia="仿宋_GB2312"/>
          <w:sz w:val="32"/>
          <w:szCs w:val="32"/>
          <w:lang w:val="en-US" w:eastAsia="zh-CN"/>
        </w:rPr>
        <w:t>172.26</w:t>
      </w:r>
      <w:r>
        <w:rPr>
          <w:rFonts w:hint="eastAsia" w:ascii="仿宋_GB2312" w:eastAsia="仿宋_GB2312"/>
          <w:sz w:val="32"/>
          <w:szCs w:val="32"/>
          <w:lang w:eastAsia="zh-CN"/>
        </w:rPr>
        <w:t>万元，主要包括：基本工资</w:t>
      </w:r>
      <w:r>
        <w:rPr>
          <w:rFonts w:hint="eastAsia" w:ascii="仿宋_GB2312" w:eastAsia="仿宋_GB2312"/>
          <w:sz w:val="32"/>
          <w:szCs w:val="32"/>
          <w:lang w:val="en-US" w:eastAsia="zh-CN"/>
        </w:rPr>
        <w:t>59.17万元</w:t>
      </w:r>
      <w:r>
        <w:rPr>
          <w:rFonts w:hint="eastAsia" w:ascii="仿宋_GB2312" w:eastAsia="仿宋_GB2312"/>
          <w:sz w:val="32"/>
          <w:szCs w:val="32"/>
          <w:lang w:eastAsia="zh-CN"/>
        </w:rPr>
        <w:t>、津贴补贴</w:t>
      </w:r>
      <w:r>
        <w:rPr>
          <w:rFonts w:hint="eastAsia" w:ascii="仿宋_GB2312" w:eastAsia="仿宋_GB2312"/>
          <w:sz w:val="32"/>
          <w:szCs w:val="32"/>
          <w:lang w:val="en-US" w:eastAsia="zh-CN"/>
        </w:rPr>
        <w:t>50.36万元</w:t>
      </w:r>
      <w:r>
        <w:rPr>
          <w:rFonts w:hint="eastAsia" w:ascii="仿宋_GB2312" w:eastAsia="仿宋_GB2312"/>
          <w:sz w:val="32"/>
          <w:szCs w:val="32"/>
          <w:lang w:eastAsia="zh-CN"/>
        </w:rPr>
        <w:t>、绩效工资</w:t>
      </w:r>
      <w:r>
        <w:rPr>
          <w:rFonts w:hint="eastAsia" w:ascii="仿宋_GB2312" w:eastAsia="仿宋_GB2312"/>
          <w:sz w:val="32"/>
          <w:szCs w:val="32"/>
          <w:lang w:val="en-US" w:eastAsia="zh-CN"/>
        </w:rPr>
        <w:t>8.68万元、养老保险16.96万元、职业年金7.81万元</w:t>
      </w:r>
      <w:r>
        <w:rPr>
          <w:rFonts w:hint="eastAsia" w:ascii="仿宋_GB2312" w:eastAsia="仿宋_GB2312"/>
          <w:sz w:val="32"/>
          <w:szCs w:val="32"/>
          <w:lang w:eastAsia="zh-CN"/>
        </w:rPr>
        <w:t>奖金、职工基本医疗保险</w:t>
      </w:r>
      <w:r>
        <w:rPr>
          <w:rFonts w:hint="eastAsia" w:ascii="仿宋_GB2312" w:eastAsia="仿宋_GB2312"/>
          <w:sz w:val="32"/>
          <w:szCs w:val="32"/>
          <w:lang w:val="en-US" w:eastAsia="zh-CN"/>
        </w:rPr>
        <w:t>4.65万元、其他社会保障0.12万元、住房公积金10.45万元、医疗费0.09万元、其他工资福利支出0.04万元、对个人和家庭的生活补助13.93万元。</w:t>
      </w:r>
    </w:p>
    <w:p>
      <w:pPr>
        <w:spacing w:line="5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公用经费 7.70万元，主要包括：办公费2.42万元、水费0.06万元、电费1.21万元、邮电费0.47万元、物业管理费0.81万元、差旅费0.34万元、维修费0.03万元、劳务费0.21万元、其他交通费用0.78万元、其他商品和服务支出1.37万元。</w:t>
      </w:r>
    </w:p>
    <w:p>
      <w:pPr>
        <w:ind w:firstLine="640" w:firstLineChars="200"/>
        <w:rPr>
          <w:rFonts w:hint="eastAsia" w:ascii="黑体" w:hAnsi="黑体" w:eastAsia="黑体" w:cs="Times New Roman"/>
          <w:sz w:val="32"/>
          <w:szCs w:val="32"/>
          <w:lang w:eastAsia="zh-CN"/>
        </w:rPr>
      </w:pPr>
    </w:p>
    <w:p>
      <w:pPr>
        <w:ind w:firstLine="640" w:firstLineChars="200"/>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七、一般公共预算财政拨款“三公”经费支出决算情况</w:t>
      </w:r>
    </w:p>
    <w:p>
      <w:pPr>
        <w:spacing w:line="600" w:lineRule="exact"/>
        <w:ind w:firstLine="600"/>
        <w:rPr>
          <w:rFonts w:hint="eastAsia" w:ascii="黑体" w:hAnsi="黑体" w:eastAsia="黑体" w:cs="Times New Roman"/>
          <w:sz w:val="32"/>
          <w:szCs w:val="32"/>
          <w:lang w:eastAsia="zh-CN"/>
        </w:rPr>
      </w:pPr>
      <w:r>
        <w:rPr>
          <w:rFonts w:hint="eastAsia" w:ascii="仿宋_GB2312" w:eastAsia="仿宋_GB2312"/>
          <w:sz w:val="32"/>
          <w:szCs w:val="32"/>
          <w:lang w:eastAsia="zh-CN"/>
        </w:rPr>
        <w:t>本部门无一般公共预算安排的“三公”经费支出。</w:t>
      </w:r>
    </w:p>
    <w:p>
      <w:pPr>
        <w:spacing w:line="580" w:lineRule="exact"/>
        <w:ind w:firstLine="600"/>
        <w:rPr>
          <w:rFonts w:ascii="楷体_GB2312" w:eastAsia="楷体_GB2312"/>
          <w:sz w:val="32"/>
          <w:szCs w:val="32"/>
        </w:rPr>
      </w:pPr>
      <w:r>
        <w:rPr>
          <w:rFonts w:hint="eastAsia" w:ascii="黑体" w:hAnsi="黑体" w:eastAsia="黑体" w:cs="Times New Roman"/>
          <w:sz w:val="32"/>
          <w:szCs w:val="32"/>
          <w:lang w:eastAsia="zh-CN"/>
        </w:rPr>
        <w:t>八、政府性基金预算财政拨款收入支出决算情况</w:t>
      </w:r>
    </w:p>
    <w:p>
      <w:pPr>
        <w:spacing w:line="600" w:lineRule="exact"/>
        <w:ind w:firstLine="600"/>
        <w:rPr>
          <w:rFonts w:ascii="仿宋_GB2312" w:eastAsia="仿宋_GB2312"/>
          <w:b/>
          <w:sz w:val="32"/>
          <w:szCs w:val="32"/>
        </w:rPr>
      </w:pPr>
      <w:r>
        <w:rPr>
          <w:rFonts w:hint="eastAsia" w:ascii="仿宋_GB2312" w:eastAsia="仿宋_GB2312"/>
          <w:sz w:val="32"/>
          <w:szCs w:val="32"/>
          <w:lang w:eastAsia="zh-CN"/>
        </w:rPr>
        <w:t>本部门没有政府性基金财政拨款收支。</w:t>
      </w:r>
    </w:p>
    <w:p>
      <w:pPr>
        <w:spacing w:line="580" w:lineRule="exact"/>
        <w:ind w:firstLine="600"/>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九、重要事项情况说明</w:t>
      </w:r>
    </w:p>
    <w:p>
      <w:pPr>
        <w:spacing w:line="580" w:lineRule="exact"/>
        <w:ind w:firstLine="601"/>
        <w:rPr>
          <w:rFonts w:ascii="楷体_GB2312" w:eastAsia="楷体_GB2312"/>
          <w:sz w:val="32"/>
          <w:szCs w:val="32"/>
        </w:rPr>
      </w:pPr>
      <w:r>
        <w:rPr>
          <w:rFonts w:hint="eastAsia" w:ascii="楷体_GB2312" w:eastAsia="楷体_GB2312"/>
          <w:sz w:val="32"/>
          <w:szCs w:val="32"/>
        </w:rPr>
        <w:t>（一）机关运行经费支出情况</w:t>
      </w:r>
    </w:p>
    <w:p>
      <w:pPr>
        <w:spacing w:line="580" w:lineRule="exact"/>
        <w:ind w:firstLine="601"/>
        <w:rPr>
          <w:rFonts w:ascii="仿宋_GB2312" w:eastAsia="仿宋_GB2312"/>
          <w:b/>
          <w:sz w:val="32"/>
          <w:szCs w:val="32"/>
        </w:rPr>
      </w:pPr>
      <w:r>
        <w:rPr>
          <w:rFonts w:hint="eastAsia" w:ascii="仿宋_GB2312" w:eastAsia="仿宋_GB2312"/>
          <w:sz w:val="32"/>
          <w:szCs w:val="32"/>
          <w:lang w:eastAsia="zh-CN"/>
        </w:rPr>
        <w:t>本部门所属预算单位全部为事业单位，无机关运行经费支出。</w:t>
      </w:r>
    </w:p>
    <w:p>
      <w:pPr>
        <w:spacing w:line="580" w:lineRule="exact"/>
        <w:ind w:firstLine="601"/>
        <w:rPr>
          <w:rFonts w:ascii="楷体_GB2312" w:eastAsia="楷体_GB2312"/>
          <w:sz w:val="32"/>
          <w:szCs w:val="32"/>
        </w:rPr>
      </w:pPr>
      <w:r>
        <w:rPr>
          <w:rFonts w:hint="eastAsia" w:ascii="楷体_GB2312" w:eastAsia="楷体_GB2312"/>
          <w:sz w:val="32"/>
          <w:szCs w:val="32"/>
        </w:rPr>
        <w:t>（二）政府采购支出情况</w:t>
      </w:r>
    </w:p>
    <w:p>
      <w:pPr>
        <w:spacing w:line="580" w:lineRule="exact"/>
        <w:ind w:firstLine="600"/>
        <w:rPr>
          <w:rFonts w:ascii="仿宋_GB2312" w:hAnsi="宋体" w:eastAsia="仿宋_GB2312" w:cs="Courier New"/>
          <w:sz w:val="32"/>
          <w:szCs w:val="32"/>
        </w:rPr>
      </w:pPr>
      <w:r>
        <w:rPr>
          <w:rFonts w:hint="eastAsia" w:ascii="仿宋_GB2312" w:hAnsi="宋体" w:eastAsia="仿宋_GB2312" w:cs="Courier New"/>
          <w:sz w:val="32"/>
          <w:szCs w:val="32"/>
          <w:lang w:eastAsia="zh-CN"/>
        </w:rPr>
        <w:t>2019</w:t>
      </w:r>
      <w:r>
        <w:rPr>
          <w:rFonts w:hint="eastAsia" w:ascii="仿宋_GB2312" w:hAnsi="宋体" w:eastAsia="仿宋_GB2312" w:cs="Courier New"/>
          <w:sz w:val="32"/>
          <w:szCs w:val="32"/>
        </w:rPr>
        <w:t xml:space="preserve">年度，政府采购金额 </w:t>
      </w:r>
      <w:r>
        <w:rPr>
          <w:rFonts w:hint="eastAsia" w:ascii="仿宋_GB2312" w:hAnsi="宋体" w:eastAsia="仿宋_GB2312" w:cs="Courier New"/>
          <w:sz w:val="32"/>
          <w:szCs w:val="32"/>
          <w:lang w:val="en-US" w:eastAsia="zh-CN"/>
        </w:rPr>
        <w:t>18.4</w:t>
      </w:r>
      <w:r>
        <w:rPr>
          <w:rFonts w:hint="eastAsia" w:ascii="仿宋_GB2312" w:hAnsi="宋体" w:eastAsia="仿宋_GB2312" w:cs="Courier New"/>
          <w:sz w:val="32"/>
          <w:szCs w:val="32"/>
        </w:rPr>
        <w:t xml:space="preserve">万元，其中：政府采购货物金额 </w:t>
      </w:r>
      <w:r>
        <w:rPr>
          <w:rFonts w:hint="eastAsia" w:ascii="仿宋_GB2312" w:hAnsi="宋体" w:eastAsia="仿宋_GB2312" w:cs="Courier New"/>
          <w:sz w:val="32"/>
          <w:szCs w:val="32"/>
          <w:lang w:val="en-US" w:eastAsia="zh-CN"/>
        </w:rPr>
        <w:t>18.4</w:t>
      </w:r>
      <w:r>
        <w:rPr>
          <w:rFonts w:hint="eastAsia" w:ascii="仿宋_GB2312" w:hAnsi="宋体" w:eastAsia="仿宋_GB2312" w:cs="Courier New"/>
          <w:sz w:val="32"/>
          <w:szCs w:val="32"/>
        </w:rPr>
        <w:t xml:space="preserve">万元、政府采购工程金额 </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 xml:space="preserve">万元、政府采购服务金额 </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 xml:space="preserve"> 万元。授予中小企业合同金额 </w:t>
      </w:r>
      <w:r>
        <w:rPr>
          <w:rFonts w:hint="eastAsia" w:ascii="仿宋_GB2312" w:hAnsi="宋体" w:eastAsia="仿宋_GB2312" w:cs="Courier New"/>
          <w:sz w:val="32"/>
          <w:szCs w:val="32"/>
          <w:lang w:val="en-US" w:eastAsia="zh-CN"/>
        </w:rPr>
        <w:t>18.4</w:t>
      </w:r>
      <w:r>
        <w:rPr>
          <w:rFonts w:hint="eastAsia" w:ascii="仿宋_GB2312" w:hAnsi="宋体" w:eastAsia="仿宋_GB2312" w:cs="Courier New"/>
          <w:sz w:val="32"/>
          <w:szCs w:val="32"/>
        </w:rPr>
        <w:t xml:space="preserve">万元，占政府采购总额的 </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 xml:space="preserve"> %，其中：授予小微企业合同金额</w:t>
      </w:r>
      <w:r>
        <w:rPr>
          <w:rFonts w:hint="eastAsia" w:ascii="仿宋_GB2312" w:hAnsi="宋体" w:eastAsia="仿宋_GB2312" w:cs="Courier New"/>
          <w:sz w:val="32"/>
          <w:szCs w:val="32"/>
          <w:lang w:val="en-US" w:eastAsia="zh-CN"/>
        </w:rPr>
        <w:t>18.4</w:t>
      </w:r>
      <w:r>
        <w:rPr>
          <w:rFonts w:hint="eastAsia" w:ascii="仿宋_GB2312" w:hAnsi="宋体" w:eastAsia="仿宋_GB2312" w:cs="Courier New"/>
          <w:sz w:val="32"/>
          <w:szCs w:val="32"/>
        </w:rPr>
        <w:t xml:space="preserve"> 万元，占政府采购总额的</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w:t>
      </w:r>
    </w:p>
    <w:p>
      <w:pPr>
        <w:spacing w:line="580" w:lineRule="exact"/>
        <w:ind w:firstLine="600"/>
        <w:rPr>
          <w:rFonts w:hint="eastAsia" w:ascii="仿宋_GB2312" w:hAnsi="宋体" w:eastAsia="仿宋_GB2312" w:cs="Courier New"/>
          <w:sz w:val="32"/>
          <w:szCs w:val="32"/>
          <w:lang w:eastAsia="zh-CN"/>
        </w:rPr>
      </w:pPr>
      <w:r>
        <w:rPr>
          <w:rFonts w:hint="eastAsia" w:ascii="仿宋_GB2312" w:hAnsi="宋体" w:eastAsia="仿宋_GB2312" w:cs="Courier New"/>
          <w:sz w:val="32"/>
          <w:szCs w:val="32"/>
          <w:lang w:eastAsia="zh-CN"/>
        </w:rPr>
        <w:t>（三）国有资产占用情况</w:t>
      </w:r>
    </w:p>
    <w:p>
      <w:pPr>
        <w:spacing w:line="580" w:lineRule="exact"/>
        <w:ind w:firstLine="600"/>
        <w:rPr>
          <w:rFonts w:ascii="仿宋_GB2312" w:hAnsi="宋体" w:eastAsia="仿宋_GB2312" w:cs="Courier New"/>
          <w:sz w:val="32"/>
          <w:szCs w:val="32"/>
        </w:rPr>
      </w:pPr>
      <w:r>
        <w:rPr>
          <w:rFonts w:hint="eastAsia" w:ascii="仿宋_GB2312" w:hAnsi="宋体" w:eastAsia="仿宋_GB2312" w:cs="Courier New"/>
          <w:sz w:val="32"/>
          <w:szCs w:val="32"/>
        </w:rPr>
        <w:t>截至</w:t>
      </w:r>
      <w:r>
        <w:rPr>
          <w:rFonts w:hint="eastAsia" w:ascii="仿宋_GB2312" w:hAnsi="宋体" w:eastAsia="仿宋_GB2312" w:cs="Courier New"/>
          <w:sz w:val="32"/>
          <w:szCs w:val="32"/>
          <w:lang w:eastAsia="zh-CN"/>
        </w:rPr>
        <w:t>2019</w:t>
      </w:r>
      <w:r>
        <w:rPr>
          <w:rFonts w:hint="eastAsia" w:ascii="仿宋_GB2312" w:hAnsi="宋体" w:eastAsia="仿宋_GB2312" w:cs="Courier New"/>
          <w:sz w:val="32"/>
          <w:szCs w:val="32"/>
        </w:rPr>
        <w:t xml:space="preserve">年底，本部门共有车辆 </w:t>
      </w:r>
      <w:r>
        <w:rPr>
          <w:rFonts w:hint="eastAsia" w:ascii="仿宋_GB2312" w:hAnsi="宋体" w:eastAsia="仿宋_GB2312" w:cs="Courier New"/>
          <w:sz w:val="32"/>
          <w:szCs w:val="32"/>
          <w:lang w:val="en-US" w:eastAsia="zh-CN"/>
        </w:rPr>
        <w:t>1</w:t>
      </w:r>
      <w:r>
        <w:rPr>
          <w:rFonts w:hint="eastAsia" w:ascii="仿宋_GB2312" w:hAnsi="宋体" w:eastAsia="仿宋_GB2312" w:cs="Courier New"/>
          <w:sz w:val="32"/>
          <w:szCs w:val="32"/>
        </w:rPr>
        <w:t xml:space="preserve">辆，其中，公务用车 </w:t>
      </w:r>
      <w:r>
        <w:rPr>
          <w:rFonts w:hint="eastAsia" w:ascii="仿宋_GB2312" w:hAnsi="宋体" w:eastAsia="仿宋_GB2312" w:cs="Courier New"/>
          <w:sz w:val="32"/>
          <w:szCs w:val="32"/>
          <w:lang w:val="en-US" w:eastAsia="zh-CN"/>
        </w:rPr>
        <w:t>1</w:t>
      </w:r>
      <w:r>
        <w:rPr>
          <w:rFonts w:hint="eastAsia" w:ascii="仿宋_GB2312" w:hAnsi="宋体" w:eastAsia="仿宋_GB2312" w:cs="Courier New"/>
          <w:sz w:val="32"/>
          <w:szCs w:val="32"/>
        </w:rPr>
        <w:t xml:space="preserve"> 辆、一般执法执勤用车 </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 xml:space="preserve">辆、特种专业技术用车 </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 xml:space="preserve">辆、其他用车 </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 xml:space="preserve">辆；单位价值50万元以上通用设备 </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 xml:space="preserve">台，单位价值100万元以上专用设备 </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台。</w:t>
      </w:r>
    </w:p>
    <w:p>
      <w:pPr>
        <w:spacing w:line="580" w:lineRule="exact"/>
        <w:rPr>
          <w:rFonts w:ascii="楷体_GB2312" w:eastAsia="楷体_GB2312"/>
          <w:sz w:val="32"/>
          <w:szCs w:val="32"/>
        </w:rPr>
      </w:pPr>
      <w:r>
        <w:rPr>
          <w:rFonts w:hint="eastAsia" w:ascii="仿宋_GB2312" w:eastAsia="仿宋_GB2312"/>
          <w:sz w:val="32"/>
          <w:szCs w:val="32"/>
        </w:rPr>
        <w:t xml:space="preserve">    </w:t>
      </w:r>
      <w:r>
        <w:rPr>
          <w:rFonts w:hint="eastAsia" w:ascii="楷体_GB2312" w:eastAsia="楷体_GB2312"/>
          <w:sz w:val="32"/>
          <w:szCs w:val="32"/>
        </w:rPr>
        <w:t>（四）预算绩效情况</w:t>
      </w:r>
    </w:p>
    <w:p>
      <w:pPr>
        <w:ind w:firstLine="643" w:firstLineChars="200"/>
        <w:rPr>
          <w:rFonts w:hint="eastAsia" w:ascii="仿宋_GB2312" w:hAnsi="宋体" w:eastAsia="仿宋_GB2312" w:cs="Courier New"/>
          <w:sz w:val="32"/>
          <w:szCs w:val="32"/>
        </w:rPr>
      </w:pPr>
      <w:r>
        <w:rPr>
          <w:rFonts w:hint="eastAsia" w:ascii="仿宋_GB2312" w:eastAsia="仿宋_GB2312"/>
          <w:b/>
          <w:sz w:val="32"/>
          <w:szCs w:val="32"/>
        </w:rPr>
        <w:t>1、预算绩效管理工作开展情况。</w:t>
      </w:r>
      <w:r>
        <w:rPr>
          <w:rFonts w:hint="eastAsia" w:ascii="仿宋_GB2312" w:hAnsi="宋体" w:eastAsia="仿宋_GB2312" w:cs="Courier New"/>
          <w:sz w:val="32"/>
          <w:szCs w:val="32"/>
        </w:rPr>
        <w:t>根据预算绩效管理要求，</w:t>
      </w:r>
      <w:r>
        <w:rPr>
          <w:rFonts w:hint="eastAsia" w:ascii="仿宋_GB2312" w:hAnsi="宋体" w:eastAsia="仿宋_GB2312" w:cs="Courier New"/>
          <w:sz w:val="32"/>
          <w:szCs w:val="32"/>
          <w:lang w:eastAsia="zh-CN"/>
        </w:rPr>
        <w:t>曲阜市图书馆</w:t>
      </w:r>
      <w:r>
        <w:rPr>
          <w:rFonts w:hint="eastAsia" w:ascii="仿宋_GB2312" w:hAnsi="宋体" w:eastAsia="仿宋_GB2312" w:cs="Courier New"/>
          <w:sz w:val="32"/>
          <w:szCs w:val="32"/>
        </w:rPr>
        <w:t>按照“谁用款、谁评价”的原则，对2019年度</w:t>
      </w:r>
      <w:r>
        <w:rPr>
          <w:rFonts w:hint="eastAsia" w:ascii="仿宋_GB2312" w:hAnsi="宋体" w:eastAsia="仿宋_GB2312" w:cs="Courier New"/>
          <w:sz w:val="32"/>
          <w:szCs w:val="32"/>
          <w:lang w:eastAsia="zh-CN"/>
        </w:rPr>
        <w:t>本</w:t>
      </w:r>
      <w:r>
        <w:rPr>
          <w:rFonts w:hint="eastAsia" w:ascii="仿宋_GB2312" w:hAnsi="宋体" w:eastAsia="仿宋_GB2312" w:cs="Courier New"/>
          <w:sz w:val="32"/>
          <w:szCs w:val="32"/>
        </w:rPr>
        <w:t>部门预算项目进行全面自评，涵盖项目</w:t>
      </w:r>
      <w:r>
        <w:rPr>
          <w:rFonts w:hint="eastAsia" w:ascii="仿宋_GB2312" w:hAnsi="宋体" w:eastAsia="仿宋_GB2312" w:cs="Courier New"/>
          <w:sz w:val="32"/>
          <w:szCs w:val="32"/>
          <w:lang w:val="en-US" w:eastAsia="zh-CN"/>
        </w:rPr>
        <w:t>1</w:t>
      </w:r>
      <w:r>
        <w:rPr>
          <w:rFonts w:hint="eastAsia" w:ascii="仿宋_GB2312" w:hAnsi="宋体" w:eastAsia="仿宋_GB2312" w:cs="Courier New"/>
          <w:sz w:val="32"/>
          <w:szCs w:val="32"/>
        </w:rPr>
        <w:t>个，涉及预算资金</w:t>
      </w:r>
      <w:r>
        <w:rPr>
          <w:rFonts w:hint="eastAsia" w:ascii="仿宋_GB2312" w:hAnsi="宋体" w:eastAsia="仿宋_GB2312" w:cs="Courier New"/>
          <w:sz w:val="32"/>
          <w:szCs w:val="32"/>
          <w:lang w:val="en-US" w:eastAsia="zh-CN"/>
        </w:rPr>
        <w:t>20</w:t>
      </w:r>
      <w:r>
        <w:rPr>
          <w:rFonts w:hint="eastAsia" w:ascii="仿宋_GB2312" w:hAnsi="宋体" w:eastAsia="仿宋_GB2312" w:cs="Courier New"/>
          <w:sz w:val="32"/>
          <w:szCs w:val="32"/>
        </w:rPr>
        <w:t>万元，占部门预算项目支出总额的</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 xml:space="preserve">%。 </w:t>
      </w:r>
    </w:p>
    <w:p>
      <w:pPr>
        <w:ind w:firstLine="640" w:firstLineChars="200"/>
        <w:rPr>
          <w:rFonts w:hint="eastAsia" w:ascii="仿宋_GB2312" w:hAnsi="宋体" w:eastAsia="仿宋_GB2312" w:cs="Courier New"/>
          <w:sz w:val="32"/>
          <w:szCs w:val="32"/>
          <w:lang w:val="en-US" w:eastAsia="zh-CN"/>
        </w:rPr>
      </w:pPr>
      <w:r>
        <w:rPr>
          <w:rFonts w:hint="eastAsia" w:ascii="仿宋_GB2312" w:hAnsi="宋体" w:eastAsia="仿宋_GB2312" w:cs="Courier New"/>
          <w:sz w:val="32"/>
          <w:szCs w:val="32"/>
          <w:lang w:val="en-US" w:eastAsia="zh-CN"/>
        </w:rPr>
        <w:t>组织对“免费开放”等1个项目开展了部门评价，涉及资金20万元。从评价情况来看，上述1个项目完成情况较好，主要表现为：项目立项程序完整、规范，设置了明确的绩效目标，财务相关管理制度较健全，预算执行及时、有效，群众满意度较高，基本实现了预期。</w:t>
      </w:r>
    </w:p>
    <w:p>
      <w:pPr>
        <w:ind w:firstLine="643" w:firstLineChars="200"/>
        <w:rPr>
          <w:rFonts w:hint="eastAsia" w:ascii="仿宋_GB2312" w:hAnsi="宋体" w:eastAsia="仿宋_GB2312" w:cs="Courier New"/>
          <w:sz w:val="32"/>
          <w:szCs w:val="32"/>
          <w:lang w:val="en-US" w:eastAsia="zh-CN"/>
        </w:rPr>
      </w:pPr>
      <w:r>
        <w:rPr>
          <w:rFonts w:hint="eastAsia" w:ascii="仿宋_GB2312" w:eastAsia="仿宋_GB2312"/>
          <w:b/>
          <w:sz w:val="32"/>
          <w:szCs w:val="32"/>
        </w:rPr>
        <w:t>2、部门决算中项目绩效自评结果。</w:t>
      </w:r>
      <w:r>
        <w:rPr>
          <w:rFonts w:hint="eastAsia" w:ascii="仿宋_GB2312" w:hAnsi="宋体" w:eastAsia="仿宋_GB2312" w:cs="Courier New"/>
          <w:sz w:val="32"/>
          <w:szCs w:val="32"/>
          <w:lang w:val="en-US" w:eastAsia="zh-CN"/>
        </w:rPr>
        <w:t>曲阜市图书馆2019年度本部门预算项目绩效自评的1个项目中，有1个项目自评等级为优，从自评情况看，项目支出绩效管理的重视程度进一步提升，大部分项目有序开展，执行和完成情况较好，资金使用比较规范。</w:t>
      </w:r>
    </w:p>
    <w:p>
      <w:pPr>
        <w:ind w:firstLine="640" w:firstLineChars="200"/>
        <w:rPr>
          <w:rFonts w:hint="eastAsia" w:ascii="仿宋_GB2312" w:hAnsi="宋体" w:eastAsia="仿宋_GB2312" w:cs="Courier New"/>
          <w:sz w:val="32"/>
          <w:szCs w:val="32"/>
          <w:lang w:val="en-US" w:eastAsia="zh-CN"/>
        </w:rPr>
      </w:pPr>
      <w:r>
        <w:rPr>
          <w:rFonts w:hint="eastAsia" w:ascii="仿宋_GB2312" w:hAnsi="宋体" w:eastAsia="仿宋_GB2312" w:cs="Courier New"/>
          <w:sz w:val="32"/>
          <w:szCs w:val="32"/>
          <w:lang w:val="en-US" w:eastAsia="zh-CN"/>
        </w:rPr>
        <w:t>今年在部门决算中反映了2019年度曲阜市图书馆项目支出绩效自评情况，以及“免费开放”等1个项目的绩效自评具体结果。（详见“第五部分 附件”）</w:t>
      </w:r>
    </w:p>
    <w:p>
      <w:pPr>
        <w:ind w:firstLine="643" w:firstLineChars="200"/>
        <w:rPr>
          <w:rFonts w:hint="eastAsia" w:ascii="仿宋_GB2312" w:eastAsia="仿宋_GB2312"/>
          <w:b/>
          <w:sz w:val="32"/>
          <w:szCs w:val="32"/>
        </w:rPr>
      </w:pPr>
      <w:r>
        <w:rPr>
          <w:rFonts w:hint="eastAsia" w:ascii="仿宋_GB2312" w:eastAsia="仿宋_GB2312"/>
          <w:b/>
          <w:sz w:val="32"/>
          <w:szCs w:val="32"/>
        </w:rPr>
        <w:t>3、部门评价项目绩效评价结果</w:t>
      </w:r>
    </w:p>
    <w:p>
      <w:pPr>
        <w:ind w:firstLine="640" w:firstLineChars="200"/>
        <w:rPr>
          <w:rFonts w:hint="eastAsia" w:ascii="仿宋_GB2312" w:hAnsi="宋体" w:eastAsia="仿宋_GB2312" w:cs="Courier New"/>
          <w:sz w:val="32"/>
          <w:szCs w:val="32"/>
          <w:lang w:val="en-US" w:eastAsia="zh-CN"/>
        </w:rPr>
      </w:pPr>
      <w:r>
        <w:rPr>
          <w:rFonts w:hint="eastAsia" w:ascii="仿宋_GB2312" w:hAnsi="宋体" w:eastAsia="仿宋_GB2312" w:cs="Courier New"/>
          <w:sz w:val="32"/>
          <w:szCs w:val="32"/>
          <w:lang w:val="en-US" w:eastAsia="zh-CN"/>
        </w:rPr>
        <w:t>以“免费开放”项目为例，该项目绩效评价综合得分90，评价结果为“优”。</w:t>
      </w:r>
    </w:p>
    <w:p>
      <w:pPr>
        <w:rPr>
          <w:rFonts w:ascii="仿宋_GB2312" w:eastAsia="仿宋_GB2312"/>
          <w:b/>
          <w:sz w:val="32"/>
          <w:szCs w:val="32"/>
        </w:rPr>
      </w:pPr>
    </w:p>
    <w:p>
      <w:pPr>
        <w:rPr>
          <w:rFonts w:ascii="黑体" w:eastAsia="黑体"/>
          <w:b/>
          <w:sz w:val="52"/>
          <w:szCs w:val="52"/>
        </w:rPr>
      </w:pPr>
    </w:p>
    <w:p>
      <w:pPr>
        <w:rPr>
          <w:rFonts w:ascii="黑体" w:eastAsia="黑体"/>
          <w:b/>
          <w:sz w:val="52"/>
          <w:szCs w:val="52"/>
        </w:rPr>
      </w:pPr>
    </w:p>
    <w:p>
      <w:pPr>
        <w:rPr>
          <w:rFonts w:ascii="黑体" w:eastAsia="黑体"/>
          <w:b/>
          <w:sz w:val="52"/>
          <w:szCs w:val="52"/>
        </w:rPr>
      </w:pPr>
    </w:p>
    <w:p>
      <w:pPr>
        <w:jc w:val="left"/>
        <w:rPr>
          <w:rFonts w:hint="eastAsia" w:ascii="方正舒体" w:hAnsi="方正舒体" w:eastAsia="方正舒体" w:cs="方正舒体"/>
          <w:spacing w:val="60"/>
          <w:sz w:val="48"/>
          <w:szCs w:val="48"/>
          <w:lang w:eastAsia="zh-CN"/>
        </w:rPr>
      </w:pPr>
    </w:p>
    <w:p>
      <w:pPr>
        <w:ind w:firstLine="540" w:firstLineChars="100"/>
        <w:rPr>
          <w:rFonts w:hint="eastAsia" w:ascii="方正小标宋简体" w:eastAsia="方正小标宋简体"/>
          <w:spacing w:val="60"/>
          <w:sz w:val="42"/>
          <w:lang w:eastAsia="zh-CN"/>
        </w:rPr>
      </w:pPr>
      <w:r>
        <w:rPr>
          <w:rFonts w:hint="eastAsia" w:ascii="方正小标宋简体" w:eastAsia="方正小标宋简体"/>
          <w:spacing w:val="60"/>
          <w:sz w:val="42"/>
          <w:lang w:eastAsia="zh-CN"/>
        </w:rPr>
        <w:t>第四部分</w:t>
      </w:r>
    </w:p>
    <w:p>
      <w:pPr>
        <w:ind w:firstLine="540" w:firstLineChars="100"/>
        <w:rPr>
          <w:rFonts w:hint="eastAsia" w:ascii="方正小标宋简体" w:eastAsia="方正小标宋简体"/>
          <w:spacing w:val="60"/>
          <w:sz w:val="42"/>
          <w:lang w:eastAsia="zh-CN"/>
        </w:rPr>
      </w:pPr>
    </w:p>
    <w:p>
      <w:pPr>
        <w:ind w:firstLine="540" w:firstLineChars="100"/>
        <w:jc w:val="center"/>
        <w:rPr>
          <w:rFonts w:hint="eastAsia" w:ascii="方正小标宋简体" w:eastAsia="方正小标宋简体"/>
          <w:spacing w:val="60"/>
          <w:sz w:val="42"/>
          <w:lang w:eastAsia="zh-CN"/>
        </w:rPr>
      </w:pPr>
      <w:r>
        <w:rPr>
          <w:rFonts w:hint="eastAsia" w:ascii="方正小标宋简体" w:eastAsia="方正小标宋简体"/>
          <w:spacing w:val="60"/>
          <w:sz w:val="42"/>
          <w:lang w:eastAsia="zh-CN"/>
        </w:rPr>
        <w:t>名词解释</w:t>
      </w: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spacing w:line="580" w:lineRule="exact"/>
        <w:ind w:firstLine="600"/>
        <w:rPr>
          <w:rFonts w:hint="eastAsia" w:ascii="黑体" w:hAnsi="黑体" w:eastAsia="黑体"/>
          <w:color w:val="000000"/>
          <w:sz w:val="32"/>
          <w:szCs w:val="32"/>
        </w:rPr>
      </w:pPr>
    </w:p>
    <w:p>
      <w:pPr>
        <w:spacing w:line="580" w:lineRule="exact"/>
        <w:ind w:firstLine="600"/>
        <w:rPr>
          <w:rFonts w:hint="eastAsia" w:ascii="黑体" w:hAnsi="黑体" w:eastAsia="黑体"/>
          <w:color w:val="000000"/>
          <w:sz w:val="32"/>
          <w:szCs w:val="32"/>
        </w:rPr>
      </w:pPr>
    </w:p>
    <w:p>
      <w:pPr>
        <w:spacing w:line="580" w:lineRule="exact"/>
        <w:ind w:firstLine="600"/>
        <w:rPr>
          <w:rFonts w:hint="eastAsia" w:ascii="黑体" w:hAnsi="黑体" w:eastAsia="黑体"/>
          <w:color w:val="000000"/>
          <w:sz w:val="32"/>
          <w:szCs w:val="32"/>
        </w:rPr>
      </w:pPr>
    </w:p>
    <w:p>
      <w:pPr>
        <w:spacing w:line="580" w:lineRule="exact"/>
        <w:ind w:firstLine="600"/>
        <w:rPr>
          <w:rFonts w:hint="eastAsia" w:ascii="黑体" w:hAnsi="黑体" w:eastAsia="黑体"/>
          <w:color w:val="000000"/>
          <w:sz w:val="32"/>
          <w:szCs w:val="32"/>
        </w:rPr>
      </w:pPr>
    </w:p>
    <w:p>
      <w:pPr>
        <w:spacing w:line="580" w:lineRule="exact"/>
        <w:ind w:firstLine="600"/>
        <w:rPr>
          <w:rFonts w:eastAsia="仿宋_GB2312"/>
          <w:sz w:val="32"/>
          <w:szCs w:val="32"/>
        </w:rPr>
      </w:pPr>
      <w:r>
        <w:rPr>
          <w:rFonts w:hint="eastAsia" w:ascii="黑体" w:hAnsi="黑体" w:eastAsia="黑体"/>
          <w:color w:val="000000"/>
          <w:sz w:val="32"/>
          <w:szCs w:val="32"/>
        </w:rPr>
        <w:t>一、财政拨款收入：</w:t>
      </w:r>
      <w:r>
        <w:rPr>
          <w:rFonts w:hint="eastAsia" w:ascii="仿宋_GB2312" w:eastAsia="仿宋_GB2312"/>
          <w:sz w:val="32"/>
          <w:szCs w:val="32"/>
        </w:rPr>
        <w:t>指单位本年度从同级财政部门取得的财政拨款。按现行管理制度，部门决算中反映的财政拨款包括一般公共预算财政拨款和政府性基金财政拨款。</w:t>
      </w:r>
    </w:p>
    <w:p>
      <w:pPr>
        <w:spacing w:line="580" w:lineRule="exact"/>
        <w:ind w:firstLine="640" w:firstLineChars="200"/>
        <w:rPr>
          <w:rFonts w:ascii="仿宋_GB2312" w:hAnsi="仿宋" w:eastAsia="仿宋_GB2312"/>
          <w:sz w:val="32"/>
          <w:szCs w:val="32"/>
        </w:rPr>
      </w:pPr>
      <w:r>
        <w:rPr>
          <w:rFonts w:hint="eastAsia" w:ascii="黑体" w:hAnsi="黑体" w:eastAsia="黑体"/>
          <w:sz w:val="32"/>
          <w:szCs w:val="32"/>
        </w:rPr>
        <w:t>二、上级补助收入：</w:t>
      </w:r>
      <w:r>
        <w:rPr>
          <w:rFonts w:hint="eastAsia" w:ascii="仿宋_GB2312" w:hAnsi="仿宋" w:eastAsia="仿宋_GB2312"/>
          <w:sz w:val="32"/>
          <w:szCs w:val="32"/>
        </w:rPr>
        <w:t>指事业单位从主管部门和上级单位取得的非财政补助收入。</w:t>
      </w:r>
    </w:p>
    <w:p>
      <w:pPr>
        <w:spacing w:line="580" w:lineRule="exact"/>
        <w:ind w:firstLine="600"/>
        <w:rPr>
          <w:rFonts w:hint="eastAsia" w:ascii="仿宋_GB2312" w:hAnsi="仿宋" w:eastAsia="仿宋_GB2312"/>
          <w:sz w:val="32"/>
          <w:szCs w:val="32"/>
        </w:rPr>
      </w:pPr>
      <w:r>
        <w:rPr>
          <w:rFonts w:hint="eastAsia" w:ascii="黑体" w:hAnsi="黑体" w:eastAsia="黑体"/>
          <w:sz w:val="32"/>
          <w:szCs w:val="32"/>
        </w:rPr>
        <w:t>三、事业收入：</w:t>
      </w:r>
      <w:r>
        <w:rPr>
          <w:rFonts w:hint="eastAsia" w:ascii="仿宋_GB2312" w:hAnsi="仿宋" w:eastAsia="仿宋_GB2312"/>
          <w:sz w:val="32"/>
          <w:szCs w:val="32"/>
        </w:rPr>
        <w:t>指事业单位开展专业业务活动及其辅助活动取得的收入。包括事业单位收到的财政专户实际核拨的教育收费等。</w:t>
      </w:r>
    </w:p>
    <w:p>
      <w:pPr>
        <w:spacing w:line="580" w:lineRule="exact"/>
        <w:ind w:firstLine="600"/>
        <w:rPr>
          <w:rFonts w:ascii="仿宋_GB2312" w:hAnsi="仿宋" w:eastAsia="仿宋_GB2312"/>
          <w:sz w:val="32"/>
          <w:szCs w:val="32"/>
        </w:rPr>
      </w:pPr>
      <w:r>
        <w:rPr>
          <w:rFonts w:hint="eastAsia" w:ascii="黑体" w:hAnsi="黑体" w:eastAsia="黑体"/>
          <w:sz w:val="32"/>
          <w:szCs w:val="32"/>
        </w:rPr>
        <w:t>四、经营收入：</w:t>
      </w:r>
      <w:r>
        <w:rPr>
          <w:rFonts w:hint="eastAsia" w:ascii="仿宋_GB2312" w:hAnsi="仿宋" w:eastAsia="仿宋_GB2312"/>
          <w:sz w:val="32"/>
          <w:szCs w:val="32"/>
        </w:rPr>
        <w:t>指事业单位在专业业务活动及其辅助活动之外开展非独立核算经营活动取得的收入。</w:t>
      </w:r>
    </w:p>
    <w:p>
      <w:pPr>
        <w:spacing w:line="580" w:lineRule="exact"/>
        <w:ind w:firstLine="640" w:firstLineChars="200"/>
        <w:rPr>
          <w:rFonts w:ascii="仿宋_GB2312" w:hAnsi="仿宋" w:eastAsia="仿宋_GB2312"/>
          <w:sz w:val="32"/>
          <w:szCs w:val="32"/>
        </w:rPr>
      </w:pPr>
      <w:r>
        <w:rPr>
          <w:rFonts w:hint="eastAsia" w:ascii="黑体" w:hAnsi="黑体" w:eastAsia="黑体"/>
          <w:sz w:val="32"/>
          <w:szCs w:val="32"/>
        </w:rPr>
        <w:t>五、附属单位上缴收入：</w:t>
      </w:r>
      <w:r>
        <w:rPr>
          <w:rFonts w:hint="eastAsia" w:ascii="仿宋_GB2312" w:hAnsi="仿宋" w:eastAsia="仿宋_GB2312"/>
          <w:sz w:val="32"/>
          <w:szCs w:val="32"/>
        </w:rPr>
        <w:t>指事业单位附属独立核算单位按照有关规定上缴的收入。</w:t>
      </w:r>
    </w:p>
    <w:p>
      <w:pPr>
        <w:spacing w:line="580" w:lineRule="exact"/>
        <w:ind w:firstLine="640" w:firstLineChars="200"/>
        <w:rPr>
          <w:rFonts w:ascii="仿宋_GB2312" w:hAnsi="仿宋" w:eastAsia="仿宋_GB2312"/>
          <w:sz w:val="32"/>
          <w:szCs w:val="32"/>
        </w:rPr>
      </w:pPr>
      <w:r>
        <w:rPr>
          <w:rFonts w:hint="eastAsia" w:ascii="黑体" w:hAnsi="黑体" w:eastAsia="黑体"/>
          <w:sz w:val="32"/>
          <w:szCs w:val="32"/>
        </w:rPr>
        <w:t>六、其他收入：</w:t>
      </w:r>
      <w:r>
        <w:rPr>
          <w:rFonts w:hint="eastAsia" w:ascii="仿宋_GB2312" w:hAnsi="仿宋" w:eastAsia="仿宋_GB2312"/>
          <w:sz w:val="32"/>
          <w:szCs w:val="32"/>
        </w:rPr>
        <w:t>指单位取得的除上述“</w:t>
      </w:r>
      <w:r>
        <w:rPr>
          <w:rFonts w:hint="eastAsia" w:eastAsia="仿宋_GB2312"/>
          <w:sz w:val="32"/>
          <w:szCs w:val="32"/>
        </w:rPr>
        <w:t>财政拨款收入</w:t>
      </w:r>
      <w:r>
        <w:rPr>
          <w:rFonts w:hint="eastAsia" w:ascii="仿宋_GB2312" w:hAnsi="仿宋" w:eastAsia="仿宋_GB2312"/>
          <w:sz w:val="32"/>
          <w:szCs w:val="32"/>
        </w:rPr>
        <w:t>”、“上级补助收入”、“事业收入”、“经营收入”、“附属单位上缴收入”等以外的各项收入。</w:t>
      </w:r>
    </w:p>
    <w:p>
      <w:pPr>
        <w:spacing w:line="580" w:lineRule="exact"/>
        <w:ind w:firstLine="600"/>
        <w:rPr>
          <w:rFonts w:ascii="仿宋_GB2312" w:eastAsia="仿宋_GB2312"/>
          <w:sz w:val="32"/>
          <w:szCs w:val="32"/>
        </w:rPr>
      </w:pPr>
      <w:r>
        <w:rPr>
          <w:rFonts w:hint="eastAsia" w:ascii="黑体" w:hAnsi="黑体" w:eastAsia="黑体"/>
          <w:sz w:val="32"/>
          <w:szCs w:val="32"/>
        </w:rPr>
        <w:t>七、用事业基金弥补收支差额：</w:t>
      </w:r>
      <w:r>
        <w:rPr>
          <w:rFonts w:hint="eastAsia" w:ascii="仿宋_GB2312" w:eastAsia="仿宋_GB2312"/>
          <w:sz w:val="32"/>
          <w:szCs w:val="32"/>
        </w:rPr>
        <w:t>指事业单位在用本年的“财政拨款收入”“事业收入”“经营收入”“其他收入”等不足以安排本年支出的情况下，使用以前年度积累的事业基金（事业单位当年收支相抵后按国家规定提取、用于弥补以后年度收支差额的基金）弥补本年度收支缺口的资金。</w:t>
      </w:r>
    </w:p>
    <w:p>
      <w:pPr>
        <w:spacing w:line="580" w:lineRule="exact"/>
        <w:ind w:firstLine="600"/>
        <w:rPr>
          <w:rFonts w:ascii="仿宋_GB2312" w:eastAsia="仿宋_GB2312"/>
          <w:sz w:val="32"/>
          <w:szCs w:val="32"/>
        </w:rPr>
      </w:pPr>
      <w:r>
        <w:rPr>
          <w:rFonts w:hint="eastAsia" w:ascii="黑体" w:hAnsi="黑体" w:eastAsia="黑体"/>
          <w:sz w:val="32"/>
          <w:szCs w:val="32"/>
        </w:rPr>
        <w:t>八、年初结转和结余：</w:t>
      </w:r>
      <w:r>
        <w:rPr>
          <w:rFonts w:hint="eastAsia" w:ascii="仿宋_GB2312" w:eastAsia="仿宋_GB2312"/>
          <w:sz w:val="32"/>
          <w:szCs w:val="32"/>
        </w:rPr>
        <w:t>指以前年度尚未完成、结转到本年仍按原规定用途继续使用的资金，或项目已完成等产生的结余资金。</w:t>
      </w:r>
    </w:p>
    <w:p>
      <w:pPr>
        <w:spacing w:line="580" w:lineRule="exact"/>
        <w:ind w:firstLine="640" w:firstLineChars="200"/>
        <w:rPr>
          <w:rFonts w:ascii="仿宋_GB2312" w:hAnsi="仿宋" w:eastAsia="仿宋_GB2312"/>
          <w:sz w:val="32"/>
          <w:szCs w:val="32"/>
        </w:rPr>
      </w:pPr>
      <w:r>
        <w:rPr>
          <w:rFonts w:hint="eastAsia" w:ascii="黑体" w:hAnsi="黑体" w:eastAsia="黑体"/>
          <w:sz w:val="32"/>
          <w:szCs w:val="32"/>
        </w:rPr>
        <w:t>九、结余分配：</w:t>
      </w:r>
      <w:r>
        <w:rPr>
          <w:rFonts w:hint="eastAsia" w:ascii="仿宋_GB2312" w:hAnsi="仿宋" w:eastAsia="仿宋_GB2312"/>
          <w:sz w:val="32"/>
          <w:szCs w:val="32"/>
        </w:rPr>
        <w:t>指事业单位按照《事业单位会计制度》的规定从非财政补助结余中分配的事业基金和职工福利基金等。</w:t>
      </w:r>
    </w:p>
    <w:p>
      <w:pPr>
        <w:spacing w:line="580" w:lineRule="exact"/>
        <w:ind w:firstLine="640" w:firstLineChars="200"/>
        <w:rPr>
          <w:rFonts w:ascii="仿宋_GB2312" w:hAnsi="仿宋" w:eastAsia="仿宋_GB2312"/>
          <w:sz w:val="32"/>
          <w:szCs w:val="32"/>
        </w:rPr>
      </w:pPr>
      <w:r>
        <w:rPr>
          <w:rFonts w:hint="eastAsia" w:ascii="黑体" w:hAnsi="黑体" w:eastAsia="黑体"/>
          <w:sz w:val="32"/>
          <w:szCs w:val="32"/>
        </w:rPr>
        <w:t>十、年末结转和结余：</w:t>
      </w:r>
      <w:r>
        <w:rPr>
          <w:rFonts w:hint="eastAsia" w:ascii="仿宋_GB2312" w:hAnsi="仿宋" w:eastAsia="仿宋_GB2312"/>
          <w:sz w:val="32"/>
          <w:szCs w:val="32"/>
        </w:rPr>
        <w:t>指单位按照有关规定结转到下年继续使用的资金，或项目已完成等产生的结余资金。</w:t>
      </w:r>
    </w:p>
    <w:p>
      <w:pPr>
        <w:spacing w:line="580" w:lineRule="exact"/>
        <w:ind w:firstLine="600"/>
        <w:rPr>
          <w:rFonts w:ascii="仿宋_GB2312" w:eastAsia="仿宋_GB2312"/>
          <w:sz w:val="32"/>
          <w:szCs w:val="32"/>
        </w:rPr>
      </w:pPr>
      <w:r>
        <w:rPr>
          <w:rFonts w:hint="eastAsia" w:ascii="黑体" w:hAnsi="黑体" w:eastAsia="黑体"/>
          <w:sz w:val="32"/>
          <w:szCs w:val="32"/>
        </w:rPr>
        <w:t>十一、基本支出：</w:t>
      </w:r>
      <w:r>
        <w:rPr>
          <w:rFonts w:hint="eastAsia" w:ascii="仿宋_GB2312" w:eastAsia="仿宋_GB2312"/>
          <w:sz w:val="32"/>
          <w:szCs w:val="32"/>
        </w:rPr>
        <w:t>指单位为保障其机构正常运转、完成日常工作任务而发生的各项支出。</w:t>
      </w:r>
    </w:p>
    <w:p>
      <w:pPr>
        <w:spacing w:line="580" w:lineRule="exact"/>
        <w:ind w:firstLine="600"/>
        <w:rPr>
          <w:rFonts w:ascii="仿宋_GB2312" w:eastAsia="仿宋_GB2312"/>
          <w:sz w:val="32"/>
          <w:szCs w:val="32"/>
        </w:rPr>
      </w:pPr>
      <w:r>
        <w:rPr>
          <w:rFonts w:hint="eastAsia" w:ascii="黑体" w:hAnsi="黑体" w:eastAsia="黑体"/>
          <w:sz w:val="32"/>
          <w:szCs w:val="32"/>
        </w:rPr>
        <w:t>十二、项目支出：</w:t>
      </w:r>
      <w:r>
        <w:rPr>
          <w:rFonts w:hint="eastAsia" w:ascii="仿宋_GB2312" w:eastAsia="仿宋_GB2312"/>
          <w:sz w:val="32"/>
          <w:szCs w:val="32"/>
        </w:rPr>
        <w:t>指单位在基本支出之外为完成特定的工作任务或事业发展目标所发生的支出。</w:t>
      </w:r>
    </w:p>
    <w:p>
      <w:pPr>
        <w:spacing w:line="580" w:lineRule="exact"/>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十三、经营支出：</w:t>
      </w:r>
      <w:r>
        <w:rPr>
          <w:rFonts w:hint="eastAsia" w:ascii="仿宋_GB2312" w:eastAsia="仿宋_GB2312"/>
          <w:sz w:val="32"/>
          <w:szCs w:val="32"/>
        </w:rPr>
        <w:t>指事业单位在专业业务活动及其辅助活动之外开展非独立核算经营活动发生的支出。</w:t>
      </w:r>
    </w:p>
    <w:p>
      <w:pPr>
        <w:spacing w:line="580" w:lineRule="exact"/>
        <w:ind w:firstLine="600"/>
        <w:rPr>
          <w:rFonts w:ascii="仿宋_GB2312" w:eastAsia="仿宋_GB2312"/>
          <w:sz w:val="32"/>
          <w:szCs w:val="32"/>
        </w:rPr>
      </w:pPr>
      <w:r>
        <w:rPr>
          <w:rFonts w:hint="eastAsia" w:ascii="黑体" w:hAnsi="黑体" w:eastAsia="黑体"/>
          <w:sz w:val="32"/>
          <w:szCs w:val="32"/>
        </w:rPr>
        <w:t>十四、“三公”经费：</w:t>
      </w:r>
      <w:r>
        <w:rPr>
          <w:rFonts w:hint="eastAsia" w:ascii="仿宋_GB2312" w:eastAsia="仿宋_GB2312"/>
          <w:sz w:val="32"/>
          <w:szCs w:val="32"/>
        </w:rPr>
        <w:t>纳入市级财政预决算管理的“三公”经费，是指市级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费（含车辆购置税）及按规定保留的公务用车燃料费、维修费、过路过桥费、保险费等支出；公务接待费反映单位按规定开支的各类公务接待（含外宾接待）支出。</w:t>
      </w:r>
    </w:p>
    <w:p>
      <w:pPr>
        <w:spacing w:line="580" w:lineRule="exact"/>
        <w:ind w:firstLine="640" w:firstLineChars="200"/>
        <w:rPr>
          <w:rFonts w:hint="eastAsia" w:ascii="仿宋_GB2312" w:eastAsia="仿宋_GB2312"/>
          <w:sz w:val="32"/>
          <w:szCs w:val="32"/>
        </w:rPr>
      </w:pPr>
      <w:r>
        <w:rPr>
          <w:rFonts w:hint="eastAsia" w:ascii="黑体" w:hAnsi="黑体" w:eastAsia="黑体"/>
          <w:sz w:val="32"/>
          <w:szCs w:val="32"/>
        </w:rPr>
        <w:t>十五、机关运行经费：</w:t>
      </w:r>
      <w:r>
        <w:rPr>
          <w:rFonts w:hint="eastAsia" w:ascii="仿宋_GB2312" w:eastAsia="仿宋_GB2312"/>
          <w:sz w:val="32"/>
          <w:szCs w:val="32"/>
        </w:rPr>
        <w:t>为保障行政单位(含参照公务员法管理的事业单位)运行用于购买货物和服务的各项资金，包括办公费、印刷费、咨询费、手续费、水费、电费、邮电费、取暖费、物业管理费、差旅费、因公出国（境）费、维修（护）费、租赁费、会议费、培训费、公务接待费、专用材料费、劳务费、委托业务费、工会经费、福利费、公务用车运行维护费以及其他费用等。</w:t>
      </w: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ind w:firstLine="540" w:firstLineChars="100"/>
        <w:rPr>
          <w:rFonts w:hint="eastAsia" w:ascii="方正小标宋简体" w:eastAsia="方正小标宋简体"/>
          <w:spacing w:val="60"/>
          <w:sz w:val="42"/>
        </w:rPr>
      </w:pPr>
      <w:r>
        <w:rPr>
          <w:rFonts w:hint="eastAsia" w:ascii="方正小标宋简体" w:eastAsia="方正小标宋简体"/>
          <w:spacing w:val="60"/>
          <w:sz w:val="42"/>
        </w:rPr>
        <w:t>第五部分</w:t>
      </w:r>
    </w:p>
    <w:p>
      <w:pPr>
        <w:jc w:val="center"/>
        <w:rPr>
          <w:rFonts w:hint="eastAsia" w:ascii="方正小标宋简体" w:eastAsia="方正小标宋简体"/>
          <w:spacing w:val="60"/>
          <w:sz w:val="42"/>
        </w:rPr>
      </w:pPr>
    </w:p>
    <w:p>
      <w:pPr>
        <w:jc w:val="center"/>
        <w:rPr>
          <w:rFonts w:hint="eastAsia" w:ascii="方正小标宋简体" w:eastAsia="方正小标宋简体"/>
          <w:spacing w:val="60"/>
          <w:sz w:val="42"/>
        </w:rPr>
      </w:pPr>
    </w:p>
    <w:p>
      <w:pPr>
        <w:jc w:val="center"/>
        <w:rPr>
          <w:rFonts w:hint="eastAsia" w:ascii="方正小标宋简体" w:eastAsia="方正小标宋简体"/>
          <w:spacing w:val="60"/>
          <w:sz w:val="48"/>
        </w:rPr>
      </w:pPr>
      <w:r>
        <w:rPr>
          <w:rFonts w:hint="eastAsia" w:ascii="方正小标宋简体" w:eastAsia="方正小标宋简体"/>
          <w:spacing w:val="60"/>
          <w:sz w:val="48"/>
        </w:rPr>
        <w:t xml:space="preserve">  附  件</w:t>
      </w: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rPr>
          <w:rFonts w:hint="eastAsia" w:ascii="仿宋_GB2312" w:eastAsia="仿宋_GB2312"/>
          <w:sz w:val="32"/>
          <w:szCs w:val="32"/>
        </w:rPr>
      </w:pPr>
    </w:p>
    <w:p>
      <w:pPr>
        <w:spacing w:line="580" w:lineRule="exact"/>
        <w:rPr>
          <w:rFonts w:hint="eastAsia" w:ascii="仿宋_GB2312" w:eastAsia="仿宋_GB2312"/>
          <w:sz w:val="32"/>
          <w:szCs w:val="32"/>
        </w:rPr>
      </w:pPr>
    </w:p>
    <w:p>
      <w:pPr>
        <w:spacing w:line="580" w:lineRule="exact"/>
        <w:rPr>
          <w:rFonts w:hint="eastAsia" w:ascii="仿宋_GB2312" w:eastAsia="仿宋_GB2312"/>
          <w:sz w:val="32"/>
          <w:szCs w:val="32"/>
        </w:rPr>
      </w:pPr>
    </w:p>
    <w:p>
      <w:pPr>
        <w:spacing w:line="580" w:lineRule="exact"/>
        <w:rPr>
          <w:rFonts w:hint="eastAsia" w:ascii="仿宋_GB2312" w:eastAsia="仿宋_GB2312"/>
          <w:sz w:val="32"/>
          <w:szCs w:val="32"/>
        </w:rPr>
        <w:sectPr>
          <w:footerReference r:id="rId7" w:type="default"/>
          <w:pgSz w:w="11906" w:h="16838"/>
          <w:pgMar w:top="1440" w:right="1800" w:bottom="1440" w:left="1800" w:header="851" w:footer="992" w:gutter="0"/>
          <w:pgNumType w:fmt="decimal"/>
          <w:cols w:space="425" w:num="1"/>
          <w:docGrid w:type="lines" w:linePitch="312" w:charSpace="0"/>
        </w:sectPr>
      </w:pPr>
    </w:p>
    <w:p>
      <w:pPr>
        <w:spacing w:line="580" w:lineRule="exact"/>
        <w:rPr>
          <w:rFonts w:hint="eastAsia" w:ascii="仿宋_GB2312" w:eastAsia="仿宋_GB2312"/>
          <w:sz w:val="32"/>
          <w:szCs w:val="32"/>
        </w:rPr>
      </w:pPr>
    </w:p>
    <w:tbl>
      <w:tblPr>
        <w:tblStyle w:val="7"/>
        <w:tblpPr w:leftFromText="180" w:rightFromText="180" w:vertAnchor="text" w:horzAnchor="page" w:tblpX="2027" w:tblpY="259"/>
        <w:tblOverlap w:val="never"/>
        <w:tblW w:w="0" w:type="auto"/>
        <w:tblInd w:w="0" w:type="dxa"/>
        <w:tblLayout w:type="fixed"/>
        <w:tblCellMar>
          <w:top w:w="15" w:type="dxa"/>
          <w:left w:w="15" w:type="dxa"/>
          <w:bottom w:w="15" w:type="dxa"/>
          <w:right w:w="15" w:type="dxa"/>
        </w:tblCellMar>
      </w:tblPr>
      <w:tblGrid>
        <w:gridCol w:w="833"/>
        <w:gridCol w:w="5707"/>
        <w:gridCol w:w="3067"/>
        <w:gridCol w:w="1789"/>
        <w:gridCol w:w="323"/>
        <w:gridCol w:w="1237"/>
        <w:gridCol w:w="284"/>
      </w:tblGrid>
      <w:tr>
        <w:tblPrEx>
          <w:tblCellMar>
            <w:top w:w="15" w:type="dxa"/>
            <w:left w:w="15" w:type="dxa"/>
            <w:bottom w:w="15" w:type="dxa"/>
            <w:right w:w="15" w:type="dxa"/>
          </w:tblCellMar>
        </w:tblPrEx>
        <w:trPr>
          <w:trHeight w:val="1120" w:hRule="atLeast"/>
        </w:trPr>
        <w:tc>
          <w:tcPr>
            <w:tcW w:w="13240" w:type="dxa"/>
            <w:gridSpan w:val="7"/>
            <w:noWrap w:val="0"/>
            <w:vAlign w:val="center"/>
          </w:tcPr>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2019年度</w:t>
            </w:r>
            <w:r>
              <w:rPr>
                <w:rFonts w:hint="eastAsia" w:ascii="方正小标宋简体" w:hAnsi="方正小标宋简体" w:eastAsia="方正小标宋简体" w:cs="方正小标宋简体"/>
                <w:sz w:val="44"/>
                <w:szCs w:val="44"/>
                <w:lang w:eastAsia="zh-CN"/>
              </w:rPr>
              <w:t>曲阜市图书馆</w:t>
            </w:r>
            <w:r>
              <w:rPr>
                <w:rFonts w:hint="eastAsia" w:ascii="方正小标宋简体" w:hAnsi="方正小标宋简体" w:eastAsia="方正小标宋简体" w:cs="方正小标宋简体"/>
                <w:sz w:val="44"/>
                <w:szCs w:val="44"/>
              </w:rPr>
              <w:t>部门</w:t>
            </w:r>
            <w:r>
              <w:rPr>
                <w:rFonts w:hint="eastAsia" w:ascii="方正小标宋简体" w:hAnsi="方正小标宋简体" w:eastAsia="方正小标宋简体" w:cs="方正小标宋简体"/>
                <w:sz w:val="44"/>
                <w:szCs w:val="44"/>
                <w:lang w:eastAsia="zh-CN"/>
              </w:rPr>
              <w:t>决</w:t>
            </w:r>
            <w:r>
              <w:rPr>
                <w:rFonts w:hint="eastAsia" w:ascii="方正小标宋简体" w:hAnsi="方正小标宋简体" w:eastAsia="方正小标宋简体" w:cs="方正小标宋简体"/>
                <w:sz w:val="44"/>
                <w:szCs w:val="44"/>
              </w:rPr>
              <w:t>算项目绩效自评情况汇总表</w:t>
            </w:r>
          </w:p>
          <w:p>
            <w:pPr>
              <w:rPr>
                <w:rFonts w:ascii="仿宋_GB2312" w:hAnsi="宋体" w:eastAsia="仿宋_GB2312" w:cs="仿宋_GB2312"/>
                <w:color w:val="000000"/>
                <w:sz w:val="24"/>
              </w:rPr>
            </w:pPr>
          </w:p>
        </w:tc>
      </w:tr>
      <w:tr>
        <w:tblPrEx>
          <w:tblCellMar>
            <w:top w:w="15" w:type="dxa"/>
            <w:left w:w="15" w:type="dxa"/>
            <w:bottom w:w="15" w:type="dxa"/>
            <w:right w:w="15" w:type="dxa"/>
          </w:tblCellMar>
        </w:tblPrEx>
        <w:trPr>
          <w:gridAfter w:val="2"/>
          <w:wAfter w:w="1521" w:type="dxa"/>
          <w:trHeight w:val="777" w:hRule="atLeast"/>
        </w:trPr>
        <w:tc>
          <w:tcPr>
            <w:tcW w:w="833" w:type="dxa"/>
            <w:noWrap w:val="0"/>
            <w:vAlign w:val="center"/>
          </w:tcPr>
          <w:p>
            <w:pPr>
              <w:rPr>
                <w:rFonts w:ascii="仿宋_GB2312" w:hAnsi="宋体" w:eastAsia="仿宋_GB2312" w:cs="仿宋_GB2312"/>
                <w:color w:val="000000"/>
                <w:sz w:val="28"/>
                <w:szCs w:val="28"/>
              </w:rPr>
            </w:pPr>
          </w:p>
        </w:tc>
        <w:tc>
          <w:tcPr>
            <w:tcW w:w="5707" w:type="dxa"/>
            <w:noWrap w:val="0"/>
            <w:vAlign w:val="center"/>
          </w:tcPr>
          <w:p>
            <w:pPr>
              <w:rPr>
                <w:rFonts w:ascii="仿宋_GB2312" w:hAnsi="宋体" w:eastAsia="仿宋_GB2312" w:cs="仿宋_GB2312"/>
                <w:color w:val="000000"/>
                <w:sz w:val="28"/>
                <w:szCs w:val="28"/>
              </w:rPr>
            </w:pPr>
          </w:p>
        </w:tc>
        <w:tc>
          <w:tcPr>
            <w:tcW w:w="3067" w:type="dxa"/>
            <w:noWrap w:val="0"/>
            <w:vAlign w:val="center"/>
          </w:tcPr>
          <w:p>
            <w:pPr>
              <w:rPr>
                <w:rFonts w:ascii="仿宋_GB2312" w:hAnsi="宋体" w:eastAsia="仿宋_GB2312" w:cs="仿宋_GB2312"/>
                <w:color w:val="000000"/>
                <w:sz w:val="28"/>
                <w:szCs w:val="28"/>
              </w:rPr>
            </w:pPr>
          </w:p>
        </w:tc>
        <w:tc>
          <w:tcPr>
            <w:tcW w:w="2112" w:type="dxa"/>
            <w:gridSpan w:val="2"/>
            <w:tcBorders>
              <w:bottom w:val="single" w:color="000000" w:sz="4" w:space="0"/>
            </w:tcBorders>
            <w:noWrap w:val="0"/>
            <w:vAlign w:val="center"/>
          </w:tcPr>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单位：万元</w:t>
            </w:r>
          </w:p>
        </w:tc>
      </w:tr>
      <w:tr>
        <w:tblPrEx>
          <w:tblCellMar>
            <w:top w:w="15" w:type="dxa"/>
            <w:left w:w="15" w:type="dxa"/>
            <w:bottom w:w="15" w:type="dxa"/>
            <w:right w:w="15" w:type="dxa"/>
          </w:tblCellMar>
        </w:tblPrEx>
        <w:trPr>
          <w:gridAfter w:val="1"/>
          <w:wAfter w:w="284" w:type="dxa"/>
          <w:trHeight w:val="427" w:hRule="atLeast"/>
        </w:trPr>
        <w:tc>
          <w:tcPr>
            <w:tcW w:w="833" w:type="dxa"/>
            <w:vMerge w:val="restart"/>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5707" w:type="dxa"/>
            <w:vMerge w:val="restart"/>
            <w:tcBorders>
              <w:top w:val="single" w:color="000000" w:sz="4" w:space="0"/>
              <w:left w:val="single" w:color="auto" w:sz="4" w:space="0"/>
              <w:bottom w:val="single" w:color="000000" w:sz="4" w:space="0"/>
              <w:right w:val="single" w:color="auto" w:sz="4" w:space="0"/>
            </w:tcBorders>
            <w:noWrap w:val="0"/>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项目名称</w:t>
            </w:r>
          </w:p>
        </w:tc>
        <w:tc>
          <w:tcPr>
            <w:tcW w:w="3067" w:type="dxa"/>
            <w:vMerge w:val="restart"/>
            <w:tcBorders>
              <w:top w:val="single" w:color="000000" w:sz="4" w:space="0"/>
              <w:left w:val="single" w:color="auto" w:sz="4" w:space="0"/>
              <w:bottom w:val="single" w:color="000000" w:sz="4" w:space="0"/>
              <w:right w:val="single" w:color="auto" w:sz="4" w:space="0"/>
            </w:tcBorders>
            <w:noWrap w:val="0"/>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资金使用单位</w:t>
            </w:r>
          </w:p>
        </w:tc>
        <w:tc>
          <w:tcPr>
            <w:tcW w:w="178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自评</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得分</w:t>
            </w:r>
          </w:p>
        </w:tc>
        <w:tc>
          <w:tcPr>
            <w:tcW w:w="156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自评</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等级</w:t>
            </w:r>
          </w:p>
        </w:tc>
      </w:tr>
      <w:tr>
        <w:tblPrEx>
          <w:tblCellMar>
            <w:top w:w="15" w:type="dxa"/>
            <w:left w:w="15" w:type="dxa"/>
            <w:bottom w:w="15" w:type="dxa"/>
            <w:right w:w="15" w:type="dxa"/>
          </w:tblCellMar>
        </w:tblPrEx>
        <w:trPr>
          <w:gridAfter w:val="1"/>
          <w:wAfter w:w="284" w:type="dxa"/>
          <w:trHeight w:val="657" w:hRule="atLeast"/>
        </w:trPr>
        <w:tc>
          <w:tcPr>
            <w:tcW w:w="833" w:type="dxa"/>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ascii="黑体" w:hAnsi="宋体" w:eastAsia="黑体" w:cs="黑体"/>
                <w:color w:val="000000"/>
                <w:sz w:val="24"/>
              </w:rPr>
            </w:pPr>
          </w:p>
        </w:tc>
        <w:tc>
          <w:tcPr>
            <w:tcW w:w="5707" w:type="dxa"/>
            <w:vMerge w:val="continue"/>
            <w:tcBorders>
              <w:top w:val="single" w:color="000000" w:sz="4" w:space="0"/>
              <w:left w:val="single" w:color="auto" w:sz="4" w:space="0"/>
              <w:bottom w:val="single" w:color="000000" w:sz="4" w:space="0"/>
              <w:right w:val="single" w:color="auto" w:sz="4" w:space="0"/>
            </w:tcBorders>
            <w:noWrap w:val="0"/>
            <w:vAlign w:val="center"/>
          </w:tcPr>
          <w:p>
            <w:pPr>
              <w:jc w:val="center"/>
              <w:rPr>
                <w:rFonts w:ascii="黑体" w:hAnsi="宋体" w:eastAsia="黑体" w:cs="黑体"/>
                <w:color w:val="000000"/>
                <w:sz w:val="24"/>
              </w:rPr>
            </w:pPr>
          </w:p>
        </w:tc>
        <w:tc>
          <w:tcPr>
            <w:tcW w:w="3067" w:type="dxa"/>
            <w:vMerge w:val="continue"/>
            <w:tcBorders>
              <w:top w:val="single" w:color="000000" w:sz="4" w:space="0"/>
              <w:left w:val="single" w:color="auto" w:sz="4" w:space="0"/>
              <w:bottom w:val="single" w:color="000000" w:sz="4" w:space="0"/>
              <w:right w:val="single" w:color="auto" w:sz="4" w:space="0"/>
            </w:tcBorders>
            <w:noWrap w:val="0"/>
            <w:vAlign w:val="center"/>
          </w:tcPr>
          <w:p>
            <w:pPr>
              <w:jc w:val="center"/>
              <w:rPr>
                <w:rFonts w:ascii="黑体" w:hAnsi="宋体" w:eastAsia="黑体" w:cs="黑体"/>
                <w:color w:val="000000"/>
                <w:sz w:val="24"/>
              </w:rPr>
            </w:pPr>
          </w:p>
        </w:tc>
        <w:tc>
          <w:tcPr>
            <w:tcW w:w="17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宋体" w:eastAsia="黑体" w:cs="黑体"/>
                <w:color w:val="000000"/>
                <w:sz w:val="24"/>
              </w:rPr>
            </w:pPr>
          </w:p>
        </w:tc>
        <w:tc>
          <w:tcPr>
            <w:tcW w:w="156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宋体" w:eastAsia="黑体" w:cs="黑体"/>
                <w:color w:val="000000"/>
                <w:sz w:val="24"/>
              </w:rPr>
            </w:pPr>
          </w:p>
        </w:tc>
      </w:tr>
      <w:tr>
        <w:tblPrEx>
          <w:tblCellMar>
            <w:top w:w="15" w:type="dxa"/>
            <w:left w:w="15" w:type="dxa"/>
            <w:bottom w:w="15" w:type="dxa"/>
            <w:right w:w="15" w:type="dxa"/>
          </w:tblCellMar>
        </w:tblPrEx>
        <w:trPr>
          <w:gridAfter w:val="1"/>
          <w:wAfter w:w="284" w:type="dxa"/>
          <w:trHeight w:val="427" w:hRule="atLeast"/>
        </w:trPr>
        <w:tc>
          <w:tcPr>
            <w:tcW w:w="833" w:type="dxa"/>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ascii="黑体" w:hAnsi="宋体" w:eastAsia="黑体" w:cs="黑体"/>
                <w:color w:val="000000"/>
                <w:sz w:val="24"/>
              </w:rPr>
            </w:pPr>
          </w:p>
        </w:tc>
        <w:tc>
          <w:tcPr>
            <w:tcW w:w="5707" w:type="dxa"/>
            <w:vMerge w:val="continue"/>
            <w:tcBorders>
              <w:top w:val="single" w:color="000000" w:sz="4" w:space="0"/>
              <w:left w:val="single" w:color="auto" w:sz="4" w:space="0"/>
              <w:bottom w:val="single" w:color="000000" w:sz="4" w:space="0"/>
              <w:right w:val="single" w:color="auto" w:sz="4" w:space="0"/>
            </w:tcBorders>
            <w:noWrap w:val="0"/>
            <w:vAlign w:val="center"/>
          </w:tcPr>
          <w:p>
            <w:pPr>
              <w:jc w:val="center"/>
              <w:rPr>
                <w:rFonts w:ascii="黑体" w:hAnsi="宋体" w:eastAsia="黑体" w:cs="黑体"/>
                <w:color w:val="000000"/>
                <w:sz w:val="24"/>
              </w:rPr>
            </w:pPr>
          </w:p>
        </w:tc>
        <w:tc>
          <w:tcPr>
            <w:tcW w:w="3067" w:type="dxa"/>
            <w:vMerge w:val="continue"/>
            <w:tcBorders>
              <w:top w:val="single" w:color="000000" w:sz="4" w:space="0"/>
              <w:left w:val="single" w:color="auto" w:sz="4" w:space="0"/>
              <w:bottom w:val="single" w:color="000000" w:sz="4" w:space="0"/>
              <w:right w:val="single" w:color="auto" w:sz="4" w:space="0"/>
            </w:tcBorders>
            <w:noWrap w:val="0"/>
            <w:vAlign w:val="center"/>
          </w:tcPr>
          <w:p>
            <w:pPr>
              <w:jc w:val="center"/>
              <w:rPr>
                <w:rFonts w:ascii="黑体" w:hAnsi="宋体" w:eastAsia="黑体" w:cs="黑体"/>
                <w:color w:val="000000"/>
                <w:sz w:val="24"/>
              </w:rPr>
            </w:pPr>
          </w:p>
        </w:tc>
        <w:tc>
          <w:tcPr>
            <w:tcW w:w="17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宋体" w:eastAsia="黑体" w:cs="黑体"/>
                <w:color w:val="000000"/>
                <w:sz w:val="24"/>
              </w:rPr>
            </w:pPr>
          </w:p>
        </w:tc>
        <w:tc>
          <w:tcPr>
            <w:tcW w:w="156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宋体" w:eastAsia="黑体" w:cs="黑体"/>
                <w:color w:val="000000"/>
                <w:sz w:val="24"/>
              </w:rPr>
            </w:pPr>
          </w:p>
        </w:tc>
      </w:tr>
      <w:tr>
        <w:tblPrEx>
          <w:tblCellMar>
            <w:top w:w="15" w:type="dxa"/>
            <w:left w:w="15" w:type="dxa"/>
            <w:bottom w:w="15" w:type="dxa"/>
            <w:right w:w="15" w:type="dxa"/>
          </w:tblCellMar>
        </w:tblPrEx>
        <w:trPr>
          <w:gridAfter w:val="1"/>
          <w:wAfter w:w="284" w:type="dxa"/>
          <w:trHeight w:val="575" w:hRule="atLeast"/>
        </w:trPr>
        <w:tc>
          <w:tcPr>
            <w:tcW w:w="8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b/>
                <w:bCs/>
                <w:color w:val="000000"/>
                <w:sz w:val="28"/>
                <w:szCs w:val="24"/>
              </w:rPr>
            </w:pPr>
            <w:r>
              <w:rPr>
                <w:rFonts w:hint="eastAsia" w:ascii="仿宋_GB2312" w:hAnsi="宋体" w:eastAsia="仿宋_GB2312" w:cs="仿宋_GB2312"/>
                <w:b/>
                <w:bCs/>
                <w:color w:val="000000"/>
                <w:kern w:val="0"/>
                <w:sz w:val="28"/>
                <w:szCs w:val="24"/>
              </w:rPr>
              <w:t>1</w:t>
            </w:r>
          </w:p>
        </w:tc>
        <w:tc>
          <w:tcPr>
            <w:tcW w:w="570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b/>
                <w:bCs/>
                <w:color w:val="000000"/>
                <w:sz w:val="28"/>
                <w:szCs w:val="24"/>
                <w:lang w:eastAsia="zh-CN"/>
              </w:rPr>
            </w:pPr>
            <w:r>
              <w:rPr>
                <w:rFonts w:hint="eastAsia" w:ascii="仿宋_GB2312" w:hAnsi="宋体" w:eastAsia="仿宋_GB2312" w:cs="仿宋_GB2312"/>
                <w:b/>
                <w:bCs/>
                <w:color w:val="000000"/>
                <w:sz w:val="28"/>
                <w:szCs w:val="24"/>
                <w:lang w:eastAsia="zh-CN"/>
              </w:rPr>
              <w:t>免费开放项目</w:t>
            </w:r>
          </w:p>
        </w:tc>
        <w:tc>
          <w:tcPr>
            <w:tcW w:w="30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bCs/>
                <w:color w:val="000000"/>
                <w:sz w:val="28"/>
                <w:szCs w:val="24"/>
                <w:lang w:eastAsia="zh-CN"/>
              </w:rPr>
            </w:pPr>
            <w:r>
              <w:rPr>
                <w:rFonts w:hint="eastAsia" w:ascii="仿宋_GB2312" w:hAnsi="宋体" w:eastAsia="仿宋_GB2312" w:cs="仿宋_GB2312"/>
                <w:b/>
                <w:bCs/>
                <w:color w:val="000000"/>
                <w:sz w:val="28"/>
                <w:szCs w:val="24"/>
                <w:lang w:eastAsia="zh-CN"/>
              </w:rPr>
              <w:t>曲阜市图书馆</w:t>
            </w:r>
          </w:p>
        </w:tc>
        <w:tc>
          <w:tcPr>
            <w:tcW w:w="1789" w:type="dxa"/>
            <w:tcBorders>
              <w:top w:val="single" w:color="000000" w:sz="4" w:space="0"/>
              <w:bottom w:val="single" w:color="000000" w:sz="4" w:space="0"/>
              <w:right w:val="single" w:color="000000" w:sz="4" w:space="0"/>
            </w:tcBorders>
            <w:noWrap w:val="0"/>
            <w:vAlign w:val="center"/>
          </w:tcPr>
          <w:p>
            <w:pPr>
              <w:jc w:val="center"/>
              <w:rPr>
                <w:rFonts w:hint="default" w:ascii="仿宋_GB2312" w:hAnsi="宋体" w:eastAsia="仿宋_GB2312" w:cs="仿宋_GB2312"/>
                <w:b/>
                <w:bCs/>
                <w:color w:val="000000"/>
                <w:sz w:val="28"/>
                <w:szCs w:val="24"/>
                <w:lang w:val="en-US" w:eastAsia="zh-CN"/>
              </w:rPr>
            </w:pPr>
            <w:r>
              <w:rPr>
                <w:rFonts w:hint="eastAsia" w:ascii="仿宋_GB2312" w:hAnsi="宋体" w:eastAsia="仿宋_GB2312" w:cs="仿宋_GB2312"/>
                <w:b/>
                <w:bCs/>
                <w:color w:val="000000"/>
                <w:sz w:val="28"/>
                <w:szCs w:val="24"/>
                <w:lang w:val="en-US" w:eastAsia="zh-CN"/>
              </w:rPr>
              <w:t>90</w:t>
            </w:r>
          </w:p>
        </w:tc>
        <w:tc>
          <w:tcPr>
            <w:tcW w:w="156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bCs/>
                <w:color w:val="000000"/>
                <w:sz w:val="28"/>
                <w:szCs w:val="24"/>
                <w:lang w:eastAsia="zh-CN"/>
              </w:rPr>
            </w:pPr>
            <w:r>
              <w:rPr>
                <w:rFonts w:hint="eastAsia" w:ascii="仿宋_GB2312" w:hAnsi="宋体" w:eastAsia="仿宋_GB2312" w:cs="仿宋_GB2312"/>
                <w:b/>
                <w:bCs/>
                <w:color w:val="000000"/>
                <w:sz w:val="28"/>
                <w:szCs w:val="24"/>
                <w:lang w:eastAsia="zh-CN"/>
              </w:rPr>
              <w:t>优</w:t>
            </w:r>
          </w:p>
        </w:tc>
      </w:tr>
      <w:tr>
        <w:tblPrEx>
          <w:tblCellMar>
            <w:top w:w="15" w:type="dxa"/>
            <w:left w:w="15" w:type="dxa"/>
            <w:bottom w:w="15" w:type="dxa"/>
            <w:right w:w="15" w:type="dxa"/>
          </w:tblCellMar>
        </w:tblPrEx>
        <w:trPr>
          <w:gridAfter w:val="1"/>
          <w:wAfter w:w="284" w:type="dxa"/>
          <w:trHeight w:val="575" w:hRule="atLeast"/>
        </w:trPr>
        <w:tc>
          <w:tcPr>
            <w:tcW w:w="8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4"/>
              </w:rPr>
            </w:pPr>
          </w:p>
        </w:tc>
        <w:tc>
          <w:tcPr>
            <w:tcW w:w="5707"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cs="仿宋_GB2312"/>
                <w:color w:val="000000"/>
                <w:sz w:val="24"/>
              </w:rPr>
            </w:pPr>
          </w:p>
        </w:tc>
        <w:tc>
          <w:tcPr>
            <w:tcW w:w="3067"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1"/>
              </w:rPr>
            </w:pPr>
          </w:p>
        </w:tc>
        <w:tc>
          <w:tcPr>
            <w:tcW w:w="1789" w:type="dxa"/>
            <w:tcBorders>
              <w:top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4"/>
              </w:rPr>
            </w:pPr>
          </w:p>
        </w:tc>
        <w:tc>
          <w:tcPr>
            <w:tcW w:w="156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cs="仿宋_GB2312"/>
                <w:color w:val="000000"/>
                <w:sz w:val="24"/>
              </w:rPr>
            </w:pPr>
          </w:p>
        </w:tc>
      </w:tr>
      <w:tr>
        <w:tblPrEx>
          <w:tblCellMar>
            <w:top w:w="15" w:type="dxa"/>
            <w:left w:w="15" w:type="dxa"/>
            <w:bottom w:w="15" w:type="dxa"/>
            <w:right w:w="15" w:type="dxa"/>
          </w:tblCellMar>
        </w:tblPrEx>
        <w:trPr>
          <w:gridAfter w:val="1"/>
          <w:wAfter w:w="284" w:type="dxa"/>
          <w:trHeight w:val="575" w:hRule="atLeast"/>
        </w:trPr>
        <w:tc>
          <w:tcPr>
            <w:tcW w:w="8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4"/>
              </w:rPr>
            </w:pPr>
          </w:p>
        </w:tc>
        <w:tc>
          <w:tcPr>
            <w:tcW w:w="5707"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cs="仿宋_GB2312"/>
                <w:color w:val="000000"/>
                <w:sz w:val="24"/>
              </w:rPr>
            </w:pPr>
          </w:p>
        </w:tc>
        <w:tc>
          <w:tcPr>
            <w:tcW w:w="3067"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1"/>
              </w:rPr>
            </w:pPr>
          </w:p>
        </w:tc>
        <w:tc>
          <w:tcPr>
            <w:tcW w:w="1789" w:type="dxa"/>
            <w:tcBorders>
              <w:top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4"/>
              </w:rPr>
            </w:pPr>
          </w:p>
        </w:tc>
        <w:tc>
          <w:tcPr>
            <w:tcW w:w="156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cs="仿宋_GB2312"/>
                <w:color w:val="000000"/>
                <w:sz w:val="24"/>
              </w:rPr>
            </w:pPr>
          </w:p>
        </w:tc>
      </w:tr>
      <w:tr>
        <w:tblPrEx>
          <w:tblCellMar>
            <w:top w:w="15" w:type="dxa"/>
            <w:left w:w="15" w:type="dxa"/>
            <w:bottom w:w="15" w:type="dxa"/>
            <w:right w:w="15" w:type="dxa"/>
          </w:tblCellMar>
        </w:tblPrEx>
        <w:trPr>
          <w:gridAfter w:val="1"/>
          <w:wAfter w:w="284" w:type="dxa"/>
          <w:trHeight w:val="497" w:hRule="atLeast"/>
        </w:trPr>
        <w:tc>
          <w:tcPr>
            <w:tcW w:w="8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kern w:val="0"/>
                <w:sz w:val="24"/>
              </w:rPr>
            </w:pPr>
          </w:p>
        </w:tc>
        <w:tc>
          <w:tcPr>
            <w:tcW w:w="5707"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cs="仿宋_GB2312"/>
                <w:color w:val="000000"/>
                <w:sz w:val="24"/>
              </w:rPr>
            </w:pPr>
          </w:p>
        </w:tc>
        <w:tc>
          <w:tcPr>
            <w:tcW w:w="3067"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1"/>
              </w:rPr>
            </w:pPr>
          </w:p>
        </w:tc>
        <w:tc>
          <w:tcPr>
            <w:tcW w:w="1789" w:type="dxa"/>
            <w:tcBorders>
              <w:top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4"/>
              </w:rPr>
            </w:pPr>
          </w:p>
        </w:tc>
        <w:tc>
          <w:tcPr>
            <w:tcW w:w="156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cs="仿宋_GB2312"/>
                <w:color w:val="000000"/>
                <w:sz w:val="24"/>
              </w:rPr>
            </w:pPr>
          </w:p>
        </w:tc>
      </w:tr>
      <w:tr>
        <w:tblPrEx>
          <w:tblCellMar>
            <w:top w:w="15" w:type="dxa"/>
            <w:left w:w="15" w:type="dxa"/>
            <w:bottom w:w="15" w:type="dxa"/>
            <w:right w:w="15" w:type="dxa"/>
          </w:tblCellMar>
        </w:tblPrEx>
        <w:trPr>
          <w:gridAfter w:val="1"/>
          <w:wAfter w:w="284" w:type="dxa"/>
          <w:trHeight w:val="575" w:hRule="atLeast"/>
        </w:trPr>
        <w:tc>
          <w:tcPr>
            <w:tcW w:w="8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kern w:val="0"/>
                <w:sz w:val="24"/>
              </w:rPr>
            </w:pPr>
          </w:p>
        </w:tc>
        <w:tc>
          <w:tcPr>
            <w:tcW w:w="5707"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cs="仿宋_GB2312"/>
                <w:color w:val="000000"/>
                <w:sz w:val="24"/>
              </w:rPr>
            </w:pPr>
          </w:p>
        </w:tc>
        <w:tc>
          <w:tcPr>
            <w:tcW w:w="3067"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1"/>
              </w:rPr>
            </w:pPr>
          </w:p>
        </w:tc>
        <w:tc>
          <w:tcPr>
            <w:tcW w:w="1789" w:type="dxa"/>
            <w:tcBorders>
              <w:top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4"/>
              </w:rPr>
            </w:pPr>
          </w:p>
        </w:tc>
        <w:tc>
          <w:tcPr>
            <w:tcW w:w="156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cs="仿宋_GB2312"/>
                <w:color w:val="000000"/>
                <w:sz w:val="24"/>
              </w:rPr>
            </w:pPr>
          </w:p>
        </w:tc>
      </w:tr>
      <w:tr>
        <w:tblPrEx>
          <w:tblCellMar>
            <w:top w:w="15" w:type="dxa"/>
            <w:left w:w="15" w:type="dxa"/>
            <w:bottom w:w="15" w:type="dxa"/>
            <w:right w:w="15" w:type="dxa"/>
          </w:tblCellMar>
        </w:tblPrEx>
        <w:trPr>
          <w:gridAfter w:val="1"/>
          <w:wAfter w:w="284" w:type="dxa"/>
          <w:trHeight w:val="587" w:hRule="atLeast"/>
        </w:trPr>
        <w:tc>
          <w:tcPr>
            <w:tcW w:w="8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4"/>
              </w:rPr>
            </w:pPr>
          </w:p>
        </w:tc>
        <w:tc>
          <w:tcPr>
            <w:tcW w:w="570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color w:val="000000"/>
                <w:sz w:val="24"/>
              </w:rPr>
            </w:pPr>
          </w:p>
        </w:tc>
        <w:tc>
          <w:tcPr>
            <w:tcW w:w="3067" w:type="dxa"/>
            <w:tcBorders>
              <w:top w:val="single" w:color="000000" w:sz="4" w:space="0"/>
              <w:left w:val="single" w:color="000000" w:sz="4" w:space="0"/>
              <w:bottom w:val="single" w:color="000000" w:sz="4" w:space="0"/>
              <w:right w:val="single" w:color="000000" w:sz="4" w:space="0"/>
            </w:tcBorders>
            <w:noWrap w:val="0"/>
            <w:vAlign w:val="center"/>
          </w:tcPr>
          <w:p>
            <w:pPr>
              <w:jc w:val="center"/>
              <w:rPr>
                <w:sz w:val="21"/>
              </w:rPr>
            </w:pPr>
          </w:p>
        </w:tc>
        <w:tc>
          <w:tcPr>
            <w:tcW w:w="1789" w:type="dxa"/>
            <w:tcBorders>
              <w:top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4"/>
              </w:rPr>
            </w:pPr>
          </w:p>
        </w:tc>
        <w:tc>
          <w:tcPr>
            <w:tcW w:w="156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cs="仿宋_GB2312"/>
                <w:color w:val="000000"/>
                <w:sz w:val="24"/>
              </w:rPr>
            </w:pPr>
          </w:p>
        </w:tc>
      </w:tr>
    </w:tbl>
    <w:p>
      <w:pPr>
        <w:spacing w:line="580" w:lineRule="exact"/>
        <w:rPr>
          <w:rFonts w:hint="eastAsia" w:ascii="仿宋_GB2312" w:eastAsia="仿宋_GB2312"/>
          <w:sz w:val="32"/>
          <w:szCs w:val="32"/>
        </w:rPr>
      </w:pPr>
    </w:p>
    <w:p>
      <w:pPr>
        <w:spacing w:line="580" w:lineRule="exact"/>
        <w:rPr>
          <w:rFonts w:hint="eastAsia" w:ascii="仿宋_GB2312" w:eastAsia="仿宋_GB2312"/>
          <w:sz w:val="32"/>
          <w:szCs w:val="32"/>
        </w:rPr>
      </w:pPr>
    </w:p>
    <w:p>
      <w:pPr>
        <w:spacing w:line="580" w:lineRule="exact"/>
        <w:rPr>
          <w:rFonts w:hint="eastAsia" w:ascii="仿宋_GB2312" w:eastAsia="仿宋_GB2312"/>
          <w:sz w:val="32"/>
          <w:szCs w:val="32"/>
        </w:rPr>
      </w:pPr>
    </w:p>
    <w:p>
      <w:pPr>
        <w:spacing w:line="580" w:lineRule="exact"/>
        <w:rPr>
          <w:rFonts w:hint="eastAsia" w:ascii="仿宋_GB2312" w:eastAsia="仿宋_GB2312"/>
          <w:sz w:val="32"/>
          <w:szCs w:val="32"/>
        </w:rPr>
      </w:pPr>
    </w:p>
    <w:p>
      <w:pPr>
        <w:spacing w:line="580" w:lineRule="exact"/>
        <w:rPr>
          <w:rFonts w:hint="eastAsia" w:ascii="仿宋_GB2312" w:eastAsia="仿宋_GB2312"/>
          <w:sz w:val="32"/>
          <w:szCs w:val="32"/>
        </w:rPr>
      </w:pPr>
    </w:p>
    <w:p>
      <w:pPr>
        <w:spacing w:line="580" w:lineRule="exact"/>
        <w:rPr>
          <w:rFonts w:hint="eastAsia" w:ascii="仿宋_GB2312" w:eastAsia="仿宋_GB2312"/>
          <w:sz w:val="32"/>
          <w:szCs w:val="32"/>
        </w:rPr>
      </w:pPr>
    </w:p>
    <w:p>
      <w:pPr>
        <w:spacing w:line="580" w:lineRule="exact"/>
        <w:rPr>
          <w:rFonts w:hint="eastAsia" w:ascii="仿宋_GB2312" w:eastAsia="仿宋_GB2312"/>
          <w:sz w:val="32"/>
          <w:szCs w:val="32"/>
        </w:rPr>
      </w:pPr>
    </w:p>
    <w:p>
      <w:pPr>
        <w:spacing w:line="580" w:lineRule="exact"/>
        <w:rPr>
          <w:rFonts w:hint="eastAsia" w:ascii="仿宋_GB2312" w:eastAsia="仿宋_GB2312"/>
          <w:sz w:val="32"/>
          <w:szCs w:val="32"/>
        </w:rPr>
      </w:pPr>
    </w:p>
    <w:p>
      <w:pPr>
        <w:spacing w:line="580" w:lineRule="exact"/>
        <w:rPr>
          <w:rFonts w:hint="eastAsia" w:ascii="仿宋_GB2312" w:eastAsia="仿宋_GB2312"/>
          <w:sz w:val="32"/>
          <w:szCs w:val="32"/>
        </w:rPr>
      </w:pPr>
    </w:p>
    <w:p>
      <w:pPr>
        <w:spacing w:line="580" w:lineRule="exact"/>
        <w:rPr>
          <w:rFonts w:hint="eastAsia" w:ascii="仿宋_GB2312" w:eastAsia="仿宋_GB2312"/>
          <w:sz w:val="32"/>
          <w:szCs w:val="32"/>
        </w:rPr>
      </w:pPr>
    </w:p>
    <w:p>
      <w:pPr>
        <w:spacing w:line="580" w:lineRule="exact"/>
        <w:rPr>
          <w:rFonts w:hint="eastAsia" w:ascii="仿宋_GB2312" w:eastAsia="仿宋_GB2312"/>
          <w:sz w:val="32"/>
          <w:szCs w:val="32"/>
        </w:rPr>
        <w:sectPr>
          <w:pgSz w:w="16838" w:h="11906" w:orient="landscape"/>
          <w:pgMar w:top="1800" w:right="1440" w:bottom="1800" w:left="1440" w:header="851" w:footer="992" w:gutter="0"/>
          <w:pgNumType w:fmt="decimal"/>
          <w:cols w:space="425" w:num="1"/>
          <w:docGrid w:type="lines" w:linePitch="312" w:charSpace="0"/>
        </w:sectPr>
      </w:pPr>
    </w:p>
    <w:tbl>
      <w:tblPr>
        <w:tblStyle w:val="7"/>
        <w:tblpPr w:leftFromText="180" w:rightFromText="180" w:vertAnchor="text" w:horzAnchor="page" w:tblpX="652" w:tblpY="567"/>
        <w:tblOverlap w:val="never"/>
        <w:tblW w:w="10760" w:type="dxa"/>
        <w:tblInd w:w="0" w:type="dxa"/>
        <w:tblLayout w:type="fixed"/>
        <w:tblCellMar>
          <w:top w:w="15" w:type="dxa"/>
          <w:left w:w="15" w:type="dxa"/>
          <w:bottom w:w="15" w:type="dxa"/>
          <w:right w:w="15" w:type="dxa"/>
        </w:tblCellMar>
      </w:tblPr>
      <w:tblGrid>
        <w:gridCol w:w="479"/>
        <w:gridCol w:w="848"/>
        <w:gridCol w:w="1525"/>
        <w:gridCol w:w="329"/>
        <w:gridCol w:w="2200"/>
        <w:gridCol w:w="287"/>
        <w:gridCol w:w="876"/>
        <w:gridCol w:w="882"/>
        <w:gridCol w:w="497"/>
        <w:gridCol w:w="292"/>
        <w:gridCol w:w="355"/>
        <w:gridCol w:w="419"/>
        <w:gridCol w:w="233"/>
        <w:gridCol w:w="1538"/>
      </w:tblGrid>
      <w:tr>
        <w:tblPrEx>
          <w:tblCellMar>
            <w:top w:w="15" w:type="dxa"/>
            <w:left w:w="15" w:type="dxa"/>
            <w:bottom w:w="15" w:type="dxa"/>
            <w:right w:w="15" w:type="dxa"/>
          </w:tblCellMar>
        </w:tblPrEx>
        <w:trPr>
          <w:trHeight w:val="861" w:hRule="atLeast"/>
        </w:trPr>
        <w:tc>
          <w:tcPr>
            <w:tcW w:w="10760" w:type="dxa"/>
            <w:gridSpan w:val="14"/>
            <w:noWrap w:val="0"/>
            <w:vAlign w:val="center"/>
          </w:tcPr>
          <w:p>
            <w:pPr>
              <w:widowControl/>
              <w:jc w:val="center"/>
              <w:textAlignment w:val="center"/>
              <w:rPr>
                <w:rFonts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kern w:val="0"/>
                <w:sz w:val="40"/>
                <w:szCs w:val="40"/>
                <w:lang w:val="en-US" w:eastAsia="zh-CN" w:bidi="ar"/>
              </w:rPr>
              <w:t>2019年度</w:t>
            </w:r>
            <w:r>
              <w:rPr>
                <w:rFonts w:hint="eastAsia" w:ascii="方正小标宋简体" w:hAnsi="方正小标宋简体" w:eastAsia="方正小标宋简体" w:cs="方正小标宋简体"/>
                <w:color w:val="000000"/>
                <w:kern w:val="0"/>
                <w:sz w:val="40"/>
                <w:szCs w:val="40"/>
                <w:lang w:eastAsia="zh-CN" w:bidi="ar"/>
              </w:rPr>
              <w:t>曲阜市图书馆</w:t>
            </w:r>
            <w:r>
              <w:rPr>
                <w:rFonts w:hint="eastAsia" w:ascii="方正小标宋简体" w:hAnsi="方正小标宋简体" w:eastAsia="方正小标宋简体" w:cs="方正小标宋简体"/>
                <w:color w:val="000000"/>
                <w:kern w:val="0"/>
                <w:sz w:val="40"/>
                <w:szCs w:val="40"/>
                <w:lang w:bidi="ar"/>
              </w:rPr>
              <w:t>项目支出绩效自评表</w:t>
            </w:r>
          </w:p>
        </w:tc>
      </w:tr>
      <w:tr>
        <w:tblPrEx>
          <w:tblCellMar>
            <w:top w:w="15" w:type="dxa"/>
            <w:left w:w="15" w:type="dxa"/>
            <w:bottom w:w="15" w:type="dxa"/>
            <w:right w:w="15" w:type="dxa"/>
          </w:tblCellMar>
        </w:tblPrEx>
        <w:trPr>
          <w:trHeight w:val="412" w:hRule="atLeast"/>
        </w:trPr>
        <w:tc>
          <w:tcPr>
            <w:tcW w:w="10760" w:type="dxa"/>
            <w:gridSpan w:val="14"/>
            <w:noWrap w:val="0"/>
            <w:vAlign w:val="center"/>
          </w:tcPr>
          <w:p>
            <w:pPr>
              <w:widowControl/>
              <w:jc w:val="center"/>
              <w:textAlignment w:val="center"/>
              <w:rPr>
                <w:rFonts w:ascii="楷体_GB2312" w:hAnsi="宋体" w:eastAsia="楷体_GB2312" w:cs="楷体_GB2312"/>
                <w:color w:val="000000"/>
                <w:sz w:val="24"/>
              </w:rPr>
            </w:pPr>
            <w:r>
              <w:rPr>
                <w:rFonts w:hint="eastAsia" w:ascii="楷体_GB2312" w:hAnsi="宋体" w:eastAsia="楷体_GB2312" w:cs="楷体_GB2312"/>
                <w:color w:val="000000"/>
                <w:kern w:val="0"/>
                <w:sz w:val="24"/>
                <w:lang w:bidi="ar"/>
              </w:rPr>
              <w:t>（2019年度）</w:t>
            </w:r>
          </w:p>
        </w:tc>
      </w:tr>
      <w:tr>
        <w:tblPrEx>
          <w:tblCellMar>
            <w:top w:w="15" w:type="dxa"/>
            <w:left w:w="15" w:type="dxa"/>
            <w:bottom w:w="15" w:type="dxa"/>
            <w:right w:w="15" w:type="dxa"/>
          </w:tblCellMar>
        </w:tblPrEx>
        <w:trPr>
          <w:trHeight w:val="412" w:hRule="atLeast"/>
        </w:trPr>
        <w:tc>
          <w:tcPr>
            <w:tcW w:w="479" w:type="dxa"/>
            <w:noWrap w:val="0"/>
            <w:vAlign w:val="center"/>
          </w:tcPr>
          <w:p>
            <w:pPr>
              <w:jc w:val="center"/>
              <w:rPr>
                <w:rFonts w:hint="eastAsia" w:ascii="宋体" w:hAnsi="宋体" w:cs="宋体"/>
                <w:color w:val="000000"/>
                <w:sz w:val="20"/>
                <w:szCs w:val="20"/>
              </w:rPr>
            </w:pPr>
          </w:p>
        </w:tc>
        <w:tc>
          <w:tcPr>
            <w:tcW w:w="848" w:type="dxa"/>
            <w:noWrap w:val="0"/>
            <w:vAlign w:val="center"/>
          </w:tcPr>
          <w:p>
            <w:pPr>
              <w:jc w:val="center"/>
              <w:rPr>
                <w:rFonts w:hint="eastAsia" w:ascii="宋体" w:hAnsi="宋体" w:cs="宋体"/>
                <w:color w:val="000000"/>
                <w:sz w:val="20"/>
                <w:szCs w:val="20"/>
              </w:rPr>
            </w:pPr>
          </w:p>
        </w:tc>
        <w:tc>
          <w:tcPr>
            <w:tcW w:w="1525" w:type="dxa"/>
            <w:noWrap w:val="0"/>
            <w:vAlign w:val="center"/>
          </w:tcPr>
          <w:p>
            <w:pPr>
              <w:jc w:val="center"/>
              <w:rPr>
                <w:rFonts w:hint="eastAsia" w:ascii="宋体" w:hAnsi="宋体" w:cs="宋体"/>
                <w:color w:val="000000"/>
                <w:sz w:val="20"/>
                <w:szCs w:val="20"/>
              </w:rPr>
            </w:pPr>
          </w:p>
        </w:tc>
        <w:tc>
          <w:tcPr>
            <w:tcW w:w="2529" w:type="dxa"/>
            <w:gridSpan w:val="2"/>
            <w:noWrap w:val="0"/>
            <w:vAlign w:val="center"/>
          </w:tcPr>
          <w:p>
            <w:pPr>
              <w:jc w:val="center"/>
              <w:rPr>
                <w:rFonts w:hint="eastAsia" w:ascii="宋体" w:hAnsi="宋体" w:cs="宋体"/>
                <w:color w:val="000000"/>
                <w:sz w:val="20"/>
                <w:szCs w:val="20"/>
              </w:rPr>
            </w:pPr>
          </w:p>
        </w:tc>
        <w:tc>
          <w:tcPr>
            <w:tcW w:w="1163" w:type="dxa"/>
            <w:gridSpan w:val="2"/>
            <w:noWrap w:val="0"/>
            <w:vAlign w:val="center"/>
          </w:tcPr>
          <w:p>
            <w:pPr>
              <w:jc w:val="center"/>
              <w:rPr>
                <w:rFonts w:hint="eastAsia" w:ascii="宋体" w:hAnsi="宋体" w:cs="宋体"/>
                <w:color w:val="000000"/>
                <w:sz w:val="20"/>
                <w:szCs w:val="20"/>
              </w:rPr>
            </w:pPr>
          </w:p>
        </w:tc>
        <w:tc>
          <w:tcPr>
            <w:tcW w:w="1379" w:type="dxa"/>
            <w:gridSpan w:val="2"/>
            <w:noWrap w:val="0"/>
            <w:vAlign w:val="center"/>
          </w:tcPr>
          <w:p>
            <w:pPr>
              <w:jc w:val="center"/>
              <w:rPr>
                <w:rFonts w:hint="eastAsia" w:ascii="宋体" w:hAnsi="宋体" w:cs="宋体"/>
                <w:color w:val="000000"/>
                <w:sz w:val="20"/>
                <w:szCs w:val="20"/>
              </w:rPr>
            </w:pPr>
          </w:p>
        </w:tc>
        <w:tc>
          <w:tcPr>
            <w:tcW w:w="647" w:type="dxa"/>
            <w:gridSpan w:val="2"/>
            <w:noWrap w:val="0"/>
            <w:vAlign w:val="center"/>
          </w:tcPr>
          <w:p>
            <w:pPr>
              <w:jc w:val="center"/>
              <w:rPr>
                <w:rFonts w:hint="eastAsia" w:ascii="宋体" w:hAnsi="宋体" w:cs="宋体"/>
                <w:color w:val="000000"/>
                <w:sz w:val="20"/>
                <w:szCs w:val="20"/>
              </w:rPr>
            </w:pPr>
          </w:p>
        </w:tc>
        <w:tc>
          <w:tcPr>
            <w:tcW w:w="2190" w:type="dxa"/>
            <w:gridSpan w:val="3"/>
            <w:noWrap w:val="0"/>
            <w:vAlign w:val="center"/>
          </w:tcPr>
          <w:p>
            <w:pPr>
              <w:widowControl/>
              <w:jc w:val="center"/>
              <w:textAlignment w:val="center"/>
              <w:rPr>
                <w:rFonts w:hint="eastAsia" w:ascii="宋体" w:hAnsi="宋体" w:cs="宋体"/>
                <w:color w:val="000000"/>
                <w:sz w:val="24"/>
              </w:rPr>
            </w:pPr>
          </w:p>
        </w:tc>
      </w:tr>
      <w:tr>
        <w:tblPrEx>
          <w:tblCellMar>
            <w:top w:w="15" w:type="dxa"/>
            <w:left w:w="15" w:type="dxa"/>
            <w:bottom w:w="15" w:type="dxa"/>
            <w:right w:w="15" w:type="dxa"/>
          </w:tblCellMar>
        </w:tblPrEx>
        <w:trPr>
          <w:trHeight w:val="454" w:hRule="atLeast"/>
        </w:trPr>
        <w:tc>
          <w:tcPr>
            <w:tcW w:w="132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项目名称</w:t>
            </w:r>
          </w:p>
        </w:tc>
        <w:tc>
          <w:tcPr>
            <w:tcW w:w="5217"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免费开放项目</w:t>
            </w:r>
          </w:p>
        </w:tc>
        <w:tc>
          <w:tcPr>
            <w:tcW w:w="137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主管部门</w:t>
            </w:r>
          </w:p>
        </w:tc>
        <w:tc>
          <w:tcPr>
            <w:tcW w:w="2837"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曲阜市图书馆</w:t>
            </w:r>
          </w:p>
        </w:tc>
      </w:tr>
      <w:tr>
        <w:tblPrEx>
          <w:tblCellMar>
            <w:top w:w="15" w:type="dxa"/>
            <w:left w:w="15" w:type="dxa"/>
            <w:bottom w:w="15" w:type="dxa"/>
            <w:right w:w="15" w:type="dxa"/>
          </w:tblCellMar>
        </w:tblPrEx>
        <w:trPr>
          <w:trHeight w:val="740" w:hRule="atLeast"/>
        </w:trPr>
        <w:tc>
          <w:tcPr>
            <w:tcW w:w="1327"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项目预算</w:t>
            </w:r>
            <w:r>
              <w:rPr>
                <w:rFonts w:hint="eastAsia" w:ascii="宋体" w:hAnsi="宋体" w:cs="宋体"/>
                <w:b/>
                <w:color w:val="000000"/>
                <w:kern w:val="0"/>
                <w:sz w:val="20"/>
                <w:szCs w:val="20"/>
                <w:lang w:bidi="ar"/>
              </w:rPr>
              <w:br w:type="textWrapping"/>
            </w:r>
            <w:r>
              <w:rPr>
                <w:rFonts w:hint="eastAsia" w:ascii="宋体" w:hAnsi="宋体" w:cs="宋体"/>
                <w:b/>
                <w:color w:val="000000"/>
                <w:kern w:val="0"/>
                <w:sz w:val="20"/>
                <w:szCs w:val="20"/>
                <w:lang w:bidi="ar"/>
              </w:rPr>
              <w:t>执行情况</w:t>
            </w:r>
            <w:r>
              <w:rPr>
                <w:rFonts w:hint="eastAsia" w:ascii="宋体" w:hAnsi="宋体" w:cs="宋体"/>
                <w:b/>
                <w:color w:val="000000"/>
                <w:kern w:val="0"/>
                <w:sz w:val="20"/>
                <w:szCs w:val="20"/>
                <w:lang w:bidi="ar"/>
              </w:rPr>
              <w:br w:type="textWrapping"/>
            </w:r>
            <w:r>
              <w:rPr>
                <w:rFonts w:hint="eastAsia" w:ascii="宋体" w:hAnsi="宋体" w:cs="宋体"/>
                <w:b/>
                <w:color w:val="000000"/>
                <w:kern w:val="0"/>
                <w:sz w:val="20"/>
                <w:szCs w:val="20"/>
                <w:lang w:bidi="ar"/>
              </w:rPr>
              <w:t>（10分）</w:t>
            </w:r>
          </w:p>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单位万元</w:t>
            </w:r>
          </w:p>
        </w:tc>
        <w:tc>
          <w:tcPr>
            <w:tcW w:w="1854"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0"/>
                <w:szCs w:val="20"/>
              </w:rPr>
            </w:pPr>
          </w:p>
        </w:tc>
        <w:tc>
          <w:tcPr>
            <w:tcW w:w="22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年初预算数</w:t>
            </w:r>
          </w:p>
        </w:tc>
        <w:tc>
          <w:tcPr>
            <w:tcW w:w="116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全年预算数</w:t>
            </w:r>
          </w:p>
        </w:tc>
        <w:tc>
          <w:tcPr>
            <w:tcW w:w="137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全年</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执行数</w:t>
            </w:r>
          </w:p>
        </w:tc>
        <w:tc>
          <w:tcPr>
            <w:tcW w:w="64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分值</w:t>
            </w:r>
          </w:p>
        </w:tc>
        <w:tc>
          <w:tcPr>
            <w:tcW w:w="65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执行率</w:t>
            </w:r>
          </w:p>
        </w:tc>
        <w:tc>
          <w:tcPr>
            <w:tcW w:w="15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得分</w:t>
            </w:r>
          </w:p>
        </w:tc>
      </w:tr>
      <w:tr>
        <w:tblPrEx>
          <w:tblCellMar>
            <w:top w:w="15" w:type="dxa"/>
            <w:left w:w="15" w:type="dxa"/>
            <w:bottom w:w="15" w:type="dxa"/>
            <w:right w:w="15" w:type="dxa"/>
          </w:tblCellMar>
        </w:tblPrEx>
        <w:trPr>
          <w:trHeight w:val="454" w:hRule="atLeast"/>
        </w:trPr>
        <w:tc>
          <w:tcPr>
            <w:tcW w:w="132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85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年度资金总额</w:t>
            </w:r>
          </w:p>
        </w:tc>
        <w:tc>
          <w:tcPr>
            <w:tcW w:w="22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20</w:t>
            </w:r>
          </w:p>
        </w:tc>
        <w:tc>
          <w:tcPr>
            <w:tcW w:w="116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20</w:t>
            </w:r>
          </w:p>
        </w:tc>
        <w:tc>
          <w:tcPr>
            <w:tcW w:w="137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8.43</w:t>
            </w:r>
          </w:p>
        </w:tc>
        <w:tc>
          <w:tcPr>
            <w:tcW w:w="64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w:t>
            </w:r>
          </w:p>
        </w:tc>
        <w:tc>
          <w:tcPr>
            <w:tcW w:w="65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val="en-US" w:eastAsia="zh-CN" w:bidi="ar"/>
              </w:rPr>
              <w:t>42</w:t>
            </w:r>
            <w:r>
              <w:rPr>
                <w:rFonts w:hint="eastAsia" w:ascii="宋体" w:hAnsi="宋体" w:cs="宋体"/>
                <w:color w:val="000000"/>
                <w:kern w:val="0"/>
                <w:sz w:val="20"/>
                <w:szCs w:val="20"/>
                <w:lang w:bidi="ar"/>
              </w:rPr>
              <w:t>%</w:t>
            </w:r>
          </w:p>
        </w:tc>
        <w:tc>
          <w:tcPr>
            <w:tcW w:w="15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val="en-US" w:eastAsia="zh-CN" w:bidi="ar"/>
              </w:rPr>
              <w:t>4</w:t>
            </w:r>
          </w:p>
        </w:tc>
      </w:tr>
      <w:tr>
        <w:tblPrEx>
          <w:tblCellMar>
            <w:top w:w="15" w:type="dxa"/>
            <w:left w:w="15" w:type="dxa"/>
            <w:bottom w:w="15" w:type="dxa"/>
            <w:right w:w="15" w:type="dxa"/>
          </w:tblCellMar>
        </w:tblPrEx>
        <w:trPr>
          <w:trHeight w:val="482" w:hRule="atLeast"/>
        </w:trPr>
        <w:tc>
          <w:tcPr>
            <w:tcW w:w="132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85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其中：当年财政拨款</w:t>
            </w:r>
          </w:p>
        </w:tc>
        <w:tc>
          <w:tcPr>
            <w:tcW w:w="22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20</w:t>
            </w:r>
          </w:p>
        </w:tc>
        <w:tc>
          <w:tcPr>
            <w:tcW w:w="116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20</w:t>
            </w:r>
          </w:p>
        </w:tc>
        <w:tc>
          <w:tcPr>
            <w:tcW w:w="137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64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65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15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r>
      <w:tr>
        <w:tblPrEx>
          <w:tblCellMar>
            <w:top w:w="15" w:type="dxa"/>
            <w:left w:w="15" w:type="dxa"/>
            <w:bottom w:w="15" w:type="dxa"/>
            <w:right w:w="15" w:type="dxa"/>
          </w:tblCellMar>
        </w:tblPrEx>
        <w:trPr>
          <w:trHeight w:val="482" w:hRule="atLeast"/>
        </w:trPr>
        <w:tc>
          <w:tcPr>
            <w:tcW w:w="132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85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上年结转资金</w:t>
            </w:r>
          </w:p>
        </w:tc>
        <w:tc>
          <w:tcPr>
            <w:tcW w:w="22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6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37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64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65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15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r>
      <w:tr>
        <w:tblPrEx>
          <w:tblCellMar>
            <w:top w:w="15" w:type="dxa"/>
            <w:left w:w="15" w:type="dxa"/>
            <w:bottom w:w="15" w:type="dxa"/>
            <w:right w:w="15" w:type="dxa"/>
          </w:tblCellMar>
        </w:tblPrEx>
        <w:trPr>
          <w:trHeight w:val="454" w:hRule="atLeast"/>
        </w:trPr>
        <w:tc>
          <w:tcPr>
            <w:tcW w:w="13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cs="宋体"/>
                <w:b/>
                <w:color w:val="000000"/>
                <w:sz w:val="20"/>
                <w:szCs w:val="20"/>
              </w:rPr>
            </w:pPr>
          </w:p>
        </w:tc>
        <w:tc>
          <w:tcPr>
            <w:tcW w:w="1854" w:type="dxa"/>
            <w:gridSpan w:val="2"/>
            <w:tcBorders>
              <w:top w:val="single" w:color="000000" w:sz="4" w:space="0"/>
              <w:left w:val="single" w:color="000000" w:sz="4" w:space="0"/>
              <w:bottom w:val="single" w:color="000000" w:sz="4" w:space="0"/>
              <w:right w:val="single" w:color="000000" w:sz="4" w:space="0"/>
            </w:tcBorders>
            <w:shd w:val="clear" w:color="auto" w:fill="C7EDCC"/>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其他资金</w:t>
            </w:r>
          </w:p>
        </w:tc>
        <w:tc>
          <w:tcPr>
            <w:tcW w:w="2200" w:type="dxa"/>
            <w:tcBorders>
              <w:top w:val="single" w:color="000000" w:sz="4" w:space="0"/>
              <w:left w:val="single" w:color="000000" w:sz="4" w:space="0"/>
              <w:bottom w:val="single" w:color="000000" w:sz="4" w:space="0"/>
              <w:right w:val="single" w:color="000000" w:sz="4" w:space="0"/>
            </w:tcBorders>
            <w:shd w:val="clear" w:color="auto" w:fill="C7EDCC"/>
            <w:noWrap w:val="0"/>
            <w:vAlign w:val="center"/>
          </w:tcPr>
          <w:p>
            <w:pPr>
              <w:jc w:val="center"/>
              <w:rPr>
                <w:rFonts w:hint="eastAsia" w:ascii="宋体" w:hAnsi="宋体" w:cs="宋体"/>
                <w:color w:val="000000"/>
                <w:sz w:val="20"/>
                <w:szCs w:val="20"/>
              </w:rPr>
            </w:pPr>
          </w:p>
        </w:tc>
        <w:tc>
          <w:tcPr>
            <w:tcW w:w="1163" w:type="dxa"/>
            <w:gridSpan w:val="2"/>
            <w:tcBorders>
              <w:top w:val="single" w:color="000000" w:sz="4" w:space="0"/>
              <w:left w:val="single" w:color="000000" w:sz="4" w:space="0"/>
              <w:bottom w:val="single" w:color="000000" w:sz="4" w:space="0"/>
              <w:right w:val="single" w:color="000000" w:sz="4" w:space="0"/>
            </w:tcBorders>
            <w:shd w:val="clear" w:color="auto" w:fill="C7EDCC"/>
            <w:noWrap w:val="0"/>
            <w:vAlign w:val="center"/>
          </w:tcPr>
          <w:p>
            <w:pPr>
              <w:jc w:val="center"/>
              <w:rPr>
                <w:rFonts w:hint="eastAsia" w:ascii="宋体" w:hAnsi="宋体" w:cs="宋体"/>
                <w:color w:val="000000"/>
                <w:sz w:val="20"/>
                <w:szCs w:val="20"/>
              </w:rPr>
            </w:pPr>
          </w:p>
        </w:tc>
        <w:tc>
          <w:tcPr>
            <w:tcW w:w="1379" w:type="dxa"/>
            <w:gridSpan w:val="2"/>
            <w:tcBorders>
              <w:top w:val="single" w:color="000000" w:sz="4" w:space="0"/>
              <w:left w:val="single" w:color="000000" w:sz="4" w:space="0"/>
              <w:bottom w:val="single" w:color="000000" w:sz="4" w:space="0"/>
              <w:right w:val="single" w:color="000000" w:sz="4" w:space="0"/>
            </w:tcBorders>
            <w:shd w:val="clear" w:color="auto" w:fill="C7EDCC"/>
            <w:noWrap w:val="0"/>
            <w:vAlign w:val="center"/>
          </w:tcPr>
          <w:p>
            <w:pPr>
              <w:jc w:val="center"/>
              <w:rPr>
                <w:rFonts w:hint="eastAsia" w:ascii="宋体" w:hAnsi="宋体" w:cs="宋体"/>
                <w:color w:val="000000"/>
                <w:sz w:val="20"/>
                <w:szCs w:val="20"/>
              </w:rPr>
            </w:pPr>
          </w:p>
        </w:tc>
        <w:tc>
          <w:tcPr>
            <w:tcW w:w="647" w:type="dxa"/>
            <w:gridSpan w:val="2"/>
            <w:tcBorders>
              <w:top w:val="single" w:color="000000" w:sz="4" w:space="0"/>
              <w:left w:val="single" w:color="000000" w:sz="4" w:space="0"/>
              <w:bottom w:val="single" w:color="000000" w:sz="4" w:space="0"/>
              <w:right w:val="single" w:color="000000" w:sz="4" w:space="0"/>
            </w:tcBorders>
            <w:shd w:val="clear" w:color="auto" w:fill="C7EDCC"/>
            <w:noWrap w:val="0"/>
            <w:vAlign w:val="center"/>
          </w:tcPr>
          <w:p>
            <w:pPr>
              <w:jc w:val="center"/>
              <w:rPr>
                <w:rFonts w:hint="eastAsia" w:ascii="宋体" w:hAnsi="宋体" w:cs="宋体"/>
                <w:color w:val="000000"/>
                <w:sz w:val="20"/>
                <w:szCs w:val="20"/>
              </w:rPr>
            </w:pPr>
          </w:p>
        </w:tc>
        <w:tc>
          <w:tcPr>
            <w:tcW w:w="652" w:type="dxa"/>
            <w:gridSpan w:val="2"/>
            <w:tcBorders>
              <w:top w:val="single" w:color="000000" w:sz="4" w:space="0"/>
              <w:left w:val="single" w:color="000000" w:sz="4" w:space="0"/>
              <w:bottom w:val="single" w:color="000000" w:sz="4" w:space="0"/>
              <w:right w:val="single" w:color="000000" w:sz="4" w:space="0"/>
            </w:tcBorders>
            <w:shd w:val="clear" w:color="auto" w:fill="C7EDCC"/>
            <w:noWrap w:val="0"/>
            <w:vAlign w:val="center"/>
          </w:tcPr>
          <w:p>
            <w:pPr>
              <w:jc w:val="center"/>
              <w:rPr>
                <w:rFonts w:hint="eastAsia" w:ascii="宋体" w:hAnsi="宋体" w:cs="宋体"/>
                <w:color w:val="000000"/>
                <w:sz w:val="20"/>
                <w:szCs w:val="20"/>
              </w:rPr>
            </w:pPr>
          </w:p>
        </w:tc>
        <w:tc>
          <w:tcPr>
            <w:tcW w:w="1538" w:type="dxa"/>
            <w:tcBorders>
              <w:top w:val="single" w:color="000000" w:sz="4" w:space="0"/>
              <w:left w:val="single" w:color="000000" w:sz="4" w:space="0"/>
              <w:bottom w:val="single" w:color="000000" w:sz="4" w:space="0"/>
              <w:right w:val="single" w:color="000000" w:sz="4" w:space="0"/>
            </w:tcBorders>
            <w:shd w:val="clear" w:color="auto" w:fill="C7EDCC"/>
            <w:noWrap w:val="0"/>
            <w:vAlign w:val="center"/>
          </w:tcPr>
          <w:p>
            <w:pPr>
              <w:jc w:val="center"/>
              <w:rPr>
                <w:rFonts w:hint="eastAsia" w:ascii="宋体" w:hAnsi="宋体" w:cs="宋体"/>
                <w:color w:val="000000"/>
                <w:sz w:val="20"/>
                <w:szCs w:val="20"/>
              </w:rPr>
            </w:pPr>
          </w:p>
        </w:tc>
      </w:tr>
      <w:tr>
        <w:tblPrEx>
          <w:tblCellMar>
            <w:top w:w="15" w:type="dxa"/>
            <w:left w:w="15" w:type="dxa"/>
            <w:bottom w:w="15" w:type="dxa"/>
            <w:right w:w="15" w:type="dxa"/>
          </w:tblCellMar>
        </w:tblPrEx>
        <w:trPr>
          <w:trHeight w:val="454" w:hRule="atLeast"/>
        </w:trPr>
        <w:tc>
          <w:tcPr>
            <w:tcW w:w="132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年度总体目标</w:t>
            </w:r>
          </w:p>
        </w:tc>
        <w:tc>
          <w:tcPr>
            <w:tcW w:w="5217" w:type="dxa"/>
            <w:gridSpan w:val="5"/>
            <w:tcBorders>
              <w:top w:val="single" w:color="000000" w:sz="4" w:space="0"/>
              <w:left w:val="single" w:color="000000" w:sz="4" w:space="0"/>
              <w:bottom w:val="single" w:color="000000" w:sz="4" w:space="0"/>
              <w:right w:val="single" w:color="000000" w:sz="4" w:space="0"/>
            </w:tcBorders>
            <w:shd w:val="clear" w:color="auto" w:fill="C7EDCC"/>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年初预期目标</w:t>
            </w:r>
          </w:p>
        </w:tc>
        <w:tc>
          <w:tcPr>
            <w:tcW w:w="4216" w:type="dxa"/>
            <w:gridSpan w:val="7"/>
            <w:tcBorders>
              <w:top w:val="single" w:color="000000" w:sz="4" w:space="0"/>
              <w:left w:val="single" w:color="000000" w:sz="4" w:space="0"/>
              <w:bottom w:val="single" w:color="000000" w:sz="4" w:space="0"/>
              <w:right w:val="single" w:color="000000" w:sz="4" w:space="0"/>
            </w:tcBorders>
            <w:shd w:val="clear" w:color="auto" w:fill="C7EDCC"/>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目标实际完成情况</w:t>
            </w:r>
          </w:p>
        </w:tc>
      </w:tr>
      <w:tr>
        <w:tblPrEx>
          <w:tblCellMar>
            <w:top w:w="15" w:type="dxa"/>
            <w:left w:w="15" w:type="dxa"/>
            <w:bottom w:w="15" w:type="dxa"/>
            <w:right w:w="15" w:type="dxa"/>
          </w:tblCellMar>
        </w:tblPrEx>
        <w:trPr>
          <w:trHeight w:val="1524" w:hRule="atLeast"/>
        </w:trPr>
        <w:tc>
          <w:tcPr>
            <w:tcW w:w="13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cs="宋体"/>
                <w:b/>
                <w:color w:val="000000"/>
                <w:sz w:val="20"/>
                <w:szCs w:val="20"/>
              </w:rPr>
            </w:pPr>
          </w:p>
        </w:tc>
        <w:tc>
          <w:tcPr>
            <w:tcW w:w="5217" w:type="dxa"/>
            <w:gridSpan w:val="5"/>
            <w:tcBorders>
              <w:top w:val="single" w:color="000000" w:sz="4" w:space="0"/>
              <w:left w:val="single" w:color="000000" w:sz="4" w:space="0"/>
              <w:bottom w:val="single" w:color="000000" w:sz="4" w:space="0"/>
              <w:right w:val="single" w:color="000000" w:sz="4" w:space="0"/>
            </w:tcBorders>
            <w:shd w:val="clear" w:color="auto" w:fill="C7EDCC"/>
            <w:noWrap w:val="0"/>
            <w:vAlign w:val="center"/>
          </w:tcPr>
          <w:p>
            <w:pPr>
              <w:widowControl/>
              <w:spacing w:line="280" w:lineRule="exact"/>
              <w:jc w:val="left"/>
              <w:textAlignment w:val="center"/>
              <w:rPr>
                <w:rFonts w:hint="eastAsia" w:ascii="宋体" w:hAnsi="宋体" w:cs="宋体"/>
                <w:color w:val="000000"/>
                <w:sz w:val="20"/>
                <w:szCs w:val="20"/>
              </w:rPr>
            </w:pPr>
            <w:r>
              <w:rPr>
                <w:rFonts w:hint="eastAsia" w:ascii="宋体" w:hAnsi="宋体" w:cs="宋体"/>
                <w:color w:val="000000"/>
                <w:sz w:val="20"/>
                <w:szCs w:val="20"/>
              </w:rPr>
              <w:t>全年服务市民数量</w:t>
            </w:r>
            <w:r>
              <w:rPr>
                <w:rFonts w:hint="eastAsia" w:ascii="宋体" w:hAnsi="宋体" w:cs="宋体"/>
                <w:color w:val="000000"/>
                <w:sz w:val="20"/>
                <w:szCs w:val="20"/>
                <w:lang w:val="en-US" w:eastAsia="zh-CN"/>
              </w:rPr>
              <w:t>13</w:t>
            </w:r>
            <w:r>
              <w:rPr>
                <w:rFonts w:hint="eastAsia" w:ascii="宋体" w:hAnsi="宋体" w:cs="宋体"/>
                <w:color w:val="000000"/>
                <w:sz w:val="20"/>
                <w:szCs w:val="20"/>
              </w:rPr>
              <w:t>万人次,新增</w:t>
            </w:r>
            <w:r>
              <w:rPr>
                <w:rFonts w:hint="eastAsia" w:ascii="宋体" w:hAnsi="宋体" w:cs="宋体"/>
                <w:color w:val="000000"/>
                <w:sz w:val="20"/>
                <w:szCs w:val="20"/>
                <w:lang w:eastAsia="zh-CN"/>
              </w:rPr>
              <w:t>持证</w:t>
            </w:r>
            <w:r>
              <w:rPr>
                <w:rFonts w:hint="eastAsia" w:ascii="宋体" w:hAnsi="宋体" w:cs="宋体"/>
                <w:color w:val="000000"/>
                <w:sz w:val="20"/>
                <w:szCs w:val="20"/>
              </w:rPr>
              <w:t>者</w:t>
            </w:r>
            <w:r>
              <w:rPr>
                <w:rFonts w:hint="eastAsia" w:ascii="宋体" w:hAnsi="宋体" w:cs="宋体"/>
                <w:color w:val="000000"/>
                <w:sz w:val="20"/>
                <w:szCs w:val="20"/>
                <w:lang w:val="en-US" w:eastAsia="zh-CN"/>
              </w:rPr>
              <w:t>1000</w:t>
            </w:r>
            <w:r>
              <w:rPr>
                <w:rFonts w:hint="eastAsia" w:ascii="宋体" w:hAnsi="宋体" w:cs="宋体"/>
                <w:color w:val="000000"/>
                <w:sz w:val="20"/>
                <w:szCs w:val="20"/>
              </w:rPr>
              <w:t>名,持证读者总量达到1.4万人,图书外借</w:t>
            </w:r>
            <w:r>
              <w:rPr>
                <w:rFonts w:hint="eastAsia" w:ascii="宋体" w:hAnsi="宋体" w:cs="宋体"/>
                <w:color w:val="000000"/>
                <w:sz w:val="20"/>
                <w:szCs w:val="20"/>
                <w:lang w:val="en-US" w:eastAsia="zh-CN"/>
              </w:rPr>
              <w:t>6</w:t>
            </w:r>
            <w:r>
              <w:rPr>
                <w:rFonts w:hint="eastAsia" w:ascii="宋体" w:hAnsi="宋体" w:cs="宋体"/>
                <w:color w:val="000000"/>
                <w:sz w:val="20"/>
                <w:szCs w:val="20"/>
              </w:rPr>
              <w:t>万册次,举办读者活动</w:t>
            </w:r>
            <w:r>
              <w:rPr>
                <w:rFonts w:hint="eastAsia" w:ascii="宋体" w:hAnsi="宋体" w:cs="宋体"/>
                <w:color w:val="000000"/>
                <w:sz w:val="20"/>
                <w:szCs w:val="20"/>
                <w:lang w:val="en-US" w:eastAsia="zh-CN"/>
              </w:rPr>
              <w:t>35</w:t>
            </w:r>
            <w:r>
              <w:rPr>
                <w:rFonts w:hint="eastAsia" w:ascii="宋体" w:hAnsi="宋体" w:cs="宋体"/>
                <w:color w:val="000000"/>
                <w:sz w:val="20"/>
                <w:szCs w:val="20"/>
              </w:rPr>
              <w:t>次，提升图书资源流转效率。</w:t>
            </w:r>
          </w:p>
        </w:tc>
        <w:tc>
          <w:tcPr>
            <w:tcW w:w="4216" w:type="dxa"/>
            <w:gridSpan w:val="7"/>
            <w:tcBorders>
              <w:top w:val="single" w:color="000000" w:sz="4" w:space="0"/>
              <w:left w:val="single" w:color="000000" w:sz="4" w:space="0"/>
              <w:bottom w:val="single" w:color="000000" w:sz="4" w:space="0"/>
              <w:right w:val="single" w:color="000000" w:sz="4" w:space="0"/>
            </w:tcBorders>
            <w:shd w:val="clear" w:color="auto" w:fill="C7EDCC"/>
            <w:noWrap w:val="0"/>
            <w:vAlign w:val="center"/>
          </w:tcPr>
          <w:p>
            <w:pPr>
              <w:widowControl/>
              <w:spacing w:line="280" w:lineRule="exact"/>
              <w:jc w:val="left"/>
              <w:textAlignment w:val="center"/>
              <w:rPr>
                <w:rFonts w:hint="eastAsia" w:ascii="宋体" w:hAnsi="宋体" w:cs="宋体"/>
                <w:color w:val="000000"/>
                <w:sz w:val="20"/>
                <w:szCs w:val="20"/>
              </w:rPr>
            </w:pPr>
            <w:r>
              <w:rPr>
                <w:rFonts w:hint="eastAsia" w:ascii="宋体" w:hAnsi="宋体" w:cs="宋体"/>
                <w:color w:val="000000"/>
                <w:sz w:val="20"/>
                <w:szCs w:val="20"/>
              </w:rPr>
              <w:t>全年服务市民数量</w:t>
            </w:r>
            <w:r>
              <w:rPr>
                <w:rFonts w:hint="eastAsia" w:ascii="宋体" w:hAnsi="宋体" w:cs="宋体"/>
                <w:color w:val="000000"/>
                <w:sz w:val="20"/>
                <w:szCs w:val="20"/>
                <w:lang w:val="en-US" w:eastAsia="zh-CN"/>
              </w:rPr>
              <w:t>15</w:t>
            </w:r>
            <w:r>
              <w:rPr>
                <w:rFonts w:hint="eastAsia" w:ascii="宋体" w:hAnsi="宋体" w:cs="宋体"/>
                <w:color w:val="000000"/>
                <w:sz w:val="20"/>
                <w:szCs w:val="20"/>
              </w:rPr>
              <w:t>万人次,新增</w:t>
            </w:r>
            <w:r>
              <w:rPr>
                <w:rFonts w:hint="eastAsia" w:ascii="宋体" w:hAnsi="宋体" w:cs="宋体"/>
                <w:color w:val="000000"/>
                <w:sz w:val="20"/>
                <w:szCs w:val="20"/>
                <w:lang w:eastAsia="zh-CN"/>
              </w:rPr>
              <w:t>持证</w:t>
            </w:r>
            <w:r>
              <w:rPr>
                <w:rFonts w:hint="eastAsia" w:ascii="宋体" w:hAnsi="宋体" w:cs="宋体"/>
                <w:color w:val="000000"/>
                <w:sz w:val="20"/>
                <w:szCs w:val="20"/>
              </w:rPr>
              <w:t>读者</w:t>
            </w:r>
            <w:r>
              <w:rPr>
                <w:rFonts w:hint="eastAsia" w:ascii="宋体" w:hAnsi="宋体" w:cs="宋体"/>
                <w:color w:val="000000"/>
                <w:sz w:val="20"/>
                <w:szCs w:val="20"/>
                <w:lang w:val="en-US" w:eastAsia="zh-CN"/>
              </w:rPr>
              <w:t>1100</w:t>
            </w:r>
            <w:r>
              <w:rPr>
                <w:rFonts w:hint="eastAsia" w:ascii="宋体" w:hAnsi="宋体" w:cs="宋体"/>
                <w:color w:val="000000"/>
                <w:sz w:val="20"/>
                <w:szCs w:val="20"/>
              </w:rPr>
              <w:t>名,持证读者总量达到1.</w:t>
            </w:r>
            <w:r>
              <w:rPr>
                <w:rFonts w:hint="eastAsia" w:ascii="宋体" w:hAnsi="宋体" w:cs="宋体"/>
                <w:color w:val="000000"/>
                <w:sz w:val="20"/>
                <w:szCs w:val="20"/>
                <w:lang w:val="en-US" w:eastAsia="zh-CN"/>
              </w:rPr>
              <w:t>5</w:t>
            </w:r>
            <w:r>
              <w:rPr>
                <w:rFonts w:hint="eastAsia" w:ascii="宋体" w:hAnsi="宋体" w:cs="宋体"/>
                <w:color w:val="000000"/>
                <w:sz w:val="20"/>
                <w:szCs w:val="20"/>
              </w:rPr>
              <w:t>万人,图书外借</w:t>
            </w:r>
            <w:r>
              <w:rPr>
                <w:rFonts w:hint="eastAsia" w:ascii="宋体" w:hAnsi="宋体" w:cs="宋体"/>
                <w:color w:val="000000"/>
                <w:sz w:val="20"/>
                <w:szCs w:val="20"/>
                <w:lang w:val="en-US" w:eastAsia="zh-CN"/>
              </w:rPr>
              <w:t>7</w:t>
            </w:r>
            <w:r>
              <w:rPr>
                <w:rFonts w:hint="eastAsia" w:ascii="宋体" w:hAnsi="宋体" w:cs="宋体"/>
                <w:color w:val="000000"/>
                <w:sz w:val="20"/>
                <w:szCs w:val="20"/>
              </w:rPr>
              <w:t>万册次,举办读者活动</w:t>
            </w:r>
            <w:r>
              <w:rPr>
                <w:rFonts w:hint="eastAsia" w:ascii="宋体" w:hAnsi="宋体" w:cs="宋体"/>
                <w:color w:val="000000"/>
                <w:sz w:val="20"/>
                <w:szCs w:val="20"/>
                <w:lang w:val="en-US" w:eastAsia="zh-CN"/>
              </w:rPr>
              <w:t>47</w:t>
            </w:r>
            <w:r>
              <w:rPr>
                <w:rFonts w:hint="eastAsia" w:ascii="宋体" w:hAnsi="宋体" w:cs="宋体"/>
                <w:color w:val="000000"/>
                <w:sz w:val="20"/>
                <w:szCs w:val="20"/>
              </w:rPr>
              <w:t>次，图书资源流转效率</w:t>
            </w:r>
            <w:r>
              <w:rPr>
                <w:rFonts w:hint="eastAsia" w:ascii="宋体" w:hAnsi="宋体" w:cs="宋体"/>
                <w:color w:val="000000"/>
                <w:sz w:val="20"/>
                <w:szCs w:val="20"/>
                <w:lang w:eastAsia="zh-CN"/>
              </w:rPr>
              <w:t>显著提升</w:t>
            </w:r>
            <w:r>
              <w:rPr>
                <w:rFonts w:hint="eastAsia" w:ascii="宋体" w:hAnsi="宋体" w:cs="宋体"/>
                <w:color w:val="000000"/>
                <w:sz w:val="20"/>
                <w:szCs w:val="20"/>
              </w:rPr>
              <w:t>。</w:t>
            </w:r>
          </w:p>
        </w:tc>
      </w:tr>
      <w:tr>
        <w:tblPrEx>
          <w:tblCellMar>
            <w:top w:w="15" w:type="dxa"/>
            <w:left w:w="15" w:type="dxa"/>
            <w:bottom w:w="15" w:type="dxa"/>
            <w:right w:w="15" w:type="dxa"/>
          </w:tblCellMar>
        </w:tblPrEx>
        <w:trPr>
          <w:trHeight w:val="829"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绩效指标</w:t>
            </w:r>
          </w:p>
        </w:tc>
        <w:tc>
          <w:tcPr>
            <w:tcW w:w="84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一级指标</w:t>
            </w:r>
          </w:p>
        </w:tc>
        <w:tc>
          <w:tcPr>
            <w:tcW w:w="1525" w:type="dxa"/>
            <w:tcBorders>
              <w:top w:val="single" w:color="000000" w:sz="4" w:space="0"/>
              <w:left w:val="single" w:color="000000" w:sz="4" w:space="0"/>
              <w:bottom w:val="single" w:color="000000" w:sz="4" w:space="0"/>
              <w:right w:val="single" w:color="000000" w:sz="4" w:space="0"/>
            </w:tcBorders>
            <w:shd w:val="clear" w:color="auto" w:fill="C7EDCC"/>
            <w:noWrap w:val="0"/>
            <w:vAlign w:val="center"/>
          </w:tcPr>
          <w:p>
            <w:pPr>
              <w:widowControl/>
              <w:spacing w:line="240" w:lineRule="exact"/>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二级指标</w:t>
            </w:r>
          </w:p>
        </w:tc>
        <w:tc>
          <w:tcPr>
            <w:tcW w:w="2816" w:type="dxa"/>
            <w:gridSpan w:val="3"/>
            <w:tcBorders>
              <w:top w:val="single" w:color="000000" w:sz="4" w:space="0"/>
              <w:left w:val="single" w:color="000000" w:sz="4" w:space="0"/>
              <w:bottom w:val="single" w:color="000000" w:sz="4" w:space="0"/>
              <w:right w:val="single" w:color="000000" w:sz="4" w:space="0"/>
            </w:tcBorders>
            <w:shd w:val="clear" w:color="auto" w:fill="C7EDCC"/>
            <w:noWrap w:val="0"/>
            <w:vAlign w:val="center"/>
          </w:tcPr>
          <w:p>
            <w:pPr>
              <w:widowControl/>
              <w:spacing w:line="240" w:lineRule="exact"/>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三级指标</w:t>
            </w:r>
          </w:p>
        </w:tc>
        <w:tc>
          <w:tcPr>
            <w:tcW w:w="876" w:type="dxa"/>
            <w:tcBorders>
              <w:top w:val="single" w:color="000000" w:sz="4" w:space="0"/>
              <w:left w:val="single" w:color="000000" w:sz="4" w:space="0"/>
              <w:bottom w:val="single" w:color="000000" w:sz="4" w:space="0"/>
              <w:right w:val="single" w:color="000000" w:sz="4" w:space="0"/>
            </w:tcBorders>
            <w:shd w:val="clear" w:color="auto" w:fill="C7EDCC"/>
            <w:noWrap w:val="0"/>
            <w:vAlign w:val="center"/>
          </w:tcPr>
          <w:p>
            <w:pPr>
              <w:widowControl/>
              <w:spacing w:line="240" w:lineRule="exact"/>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年度指标值</w:t>
            </w:r>
          </w:p>
        </w:tc>
        <w:tc>
          <w:tcPr>
            <w:tcW w:w="882" w:type="dxa"/>
            <w:tcBorders>
              <w:top w:val="single" w:color="000000" w:sz="4" w:space="0"/>
              <w:left w:val="single" w:color="000000" w:sz="4" w:space="0"/>
              <w:bottom w:val="single" w:color="000000" w:sz="4" w:space="0"/>
              <w:right w:val="single" w:color="000000" w:sz="4" w:space="0"/>
            </w:tcBorders>
            <w:shd w:val="clear" w:color="auto" w:fill="C7EDCC"/>
            <w:noWrap w:val="0"/>
            <w:vAlign w:val="center"/>
          </w:tcPr>
          <w:p>
            <w:pPr>
              <w:widowControl/>
              <w:spacing w:line="240" w:lineRule="exact"/>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实际完成指标值</w:t>
            </w:r>
          </w:p>
        </w:tc>
        <w:tc>
          <w:tcPr>
            <w:tcW w:w="789" w:type="dxa"/>
            <w:gridSpan w:val="2"/>
            <w:tcBorders>
              <w:top w:val="single" w:color="000000" w:sz="4" w:space="0"/>
              <w:left w:val="single" w:color="000000" w:sz="4" w:space="0"/>
              <w:bottom w:val="single" w:color="000000" w:sz="4" w:space="0"/>
              <w:right w:val="single" w:color="000000" w:sz="4" w:space="0"/>
            </w:tcBorders>
            <w:shd w:val="clear" w:color="auto" w:fill="C7EDCC"/>
            <w:noWrap w:val="0"/>
            <w:vAlign w:val="center"/>
          </w:tcPr>
          <w:p>
            <w:pPr>
              <w:widowControl/>
              <w:spacing w:line="240" w:lineRule="exact"/>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分值</w:t>
            </w:r>
          </w:p>
        </w:tc>
        <w:tc>
          <w:tcPr>
            <w:tcW w:w="774" w:type="dxa"/>
            <w:gridSpan w:val="2"/>
            <w:tcBorders>
              <w:top w:val="single" w:color="000000" w:sz="4" w:space="0"/>
              <w:left w:val="single" w:color="000000" w:sz="4" w:space="0"/>
              <w:bottom w:val="single" w:color="000000" w:sz="4" w:space="0"/>
              <w:right w:val="single" w:color="000000" w:sz="4" w:space="0"/>
            </w:tcBorders>
            <w:shd w:val="clear" w:color="auto" w:fill="C7EDCC"/>
            <w:noWrap w:val="0"/>
            <w:vAlign w:val="center"/>
          </w:tcPr>
          <w:p>
            <w:pPr>
              <w:widowControl/>
              <w:spacing w:line="240" w:lineRule="exact"/>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得分</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C7EDCC"/>
            <w:noWrap w:val="0"/>
            <w:vAlign w:val="center"/>
          </w:tcPr>
          <w:p>
            <w:pPr>
              <w:widowControl/>
              <w:spacing w:line="240" w:lineRule="exact"/>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偏差原因分析及改进措施</w:t>
            </w:r>
          </w:p>
        </w:tc>
      </w:tr>
      <w:tr>
        <w:tblPrEx>
          <w:tblCellMar>
            <w:top w:w="15" w:type="dxa"/>
            <w:left w:w="15" w:type="dxa"/>
            <w:bottom w:w="15" w:type="dxa"/>
            <w:right w:w="15" w:type="dxa"/>
          </w:tblCellMar>
        </w:tblPrEx>
        <w:trPr>
          <w:trHeight w:val="454" w:hRule="atLeast"/>
        </w:trPr>
        <w:tc>
          <w:tcPr>
            <w:tcW w:w="479" w:type="dxa"/>
            <w:vMerge w:val="restart"/>
            <w:tcBorders>
              <w:left w:val="single" w:color="000000" w:sz="4" w:space="0"/>
              <w:bottom w:val="single" w:color="000000" w:sz="4" w:space="0"/>
            </w:tcBorders>
            <w:shd w:val="clear" w:color="auto" w:fill="auto"/>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年度绩效指标</w:t>
            </w:r>
          </w:p>
        </w:tc>
        <w:tc>
          <w:tcPr>
            <w:tcW w:w="848" w:type="dxa"/>
            <w:vMerge w:val="restart"/>
            <w:tcBorders>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产</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出</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指</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标</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（50分）</w:t>
            </w:r>
          </w:p>
        </w:tc>
        <w:tc>
          <w:tcPr>
            <w:tcW w:w="1525" w:type="dxa"/>
            <w:vMerge w:val="restart"/>
            <w:tcBorders>
              <w:top w:val="single" w:color="000000" w:sz="4" w:space="0"/>
              <w:bottom w:val="single" w:color="000000" w:sz="4" w:space="0"/>
              <w:right w:val="single" w:color="000000" w:sz="4" w:space="0"/>
            </w:tcBorders>
            <w:shd w:val="clear" w:color="auto" w:fill="C7EDCC"/>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数量指标</w:t>
            </w:r>
          </w:p>
        </w:tc>
        <w:tc>
          <w:tcPr>
            <w:tcW w:w="2816" w:type="dxa"/>
            <w:gridSpan w:val="3"/>
            <w:tcBorders>
              <w:top w:val="single" w:color="000000" w:sz="4" w:space="0"/>
              <w:left w:val="single" w:color="000000" w:sz="4" w:space="0"/>
              <w:bottom w:val="single" w:color="000000" w:sz="4" w:space="0"/>
              <w:right w:val="single" w:color="000000" w:sz="4" w:space="0"/>
            </w:tcBorders>
            <w:shd w:val="clear" w:color="auto" w:fill="C7EDCC"/>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全年服务市民数量</w:t>
            </w:r>
          </w:p>
        </w:tc>
        <w:tc>
          <w:tcPr>
            <w:tcW w:w="876" w:type="dxa"/>
            <w:tcBorders>
              <w:top w:val="single" w:color="000000" w:sz="4" w:space="0"/>
              <w:left w:val="single" w:color="000000" w:sz="4" w:space="0"/>
              <w:bottom w:val="single" w:color="000000" w:sz="4" w:space="0"/>
              <w:right w:val="single" w:color="000000" w:sz="4" w:space="0"/>
            </w:tcBorders>
            <w:shd w:val="clear" w:color="auto" w:fill="C7EDCC"/>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13万人次</w:t>
            </w:r>
          </w:p>
        </w:tc>
        <w:tc>
          <w:tcPr>
            <w:tcW w:w="882" w:type="dxa"/>
            <w:tcBorders>
              <w:top w:val="single" w:color="000000" w:sz="4" w:space="0"/>
              <w:left w:val="single" w:color="000000" w:sz="4" w:space="0"/>
              <w:bottom w:val="single" w:color="000000" w:sz="4" w:space="0"/>
              <w:right w:val="single" w:color="000000" w:sz="4" w:space="0"/>
            </w:tcBorders>
            <w:shd w:val="clear" w:color="auto" w:fill="C7EDCC"/>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lang w:val="en-US" w:eastAsia="zh-CN"/>
              </w:rPr>
              <w:t>15万人次</w:t>
            </w:r>
          </w:p>
        </w:tc>
        <w:tc>
          <w:tcPr>
            <w:tcW w:w="789" w:type="dxa"/>
            <w:gridSpan w:val="2"/>
            <w:tcBorders>
              <w:top w:val="single" w:color="000000" w:sz="4" w:space="0"/>
              <w:left w:val="single" w:color="000000" w:sz="4" w:space="0"/>
              <w:bottom w:val="single" w:color="000000" w:sz="4" w:space="0"/>
              <w:right w:val="single" w:color="000000" w:sz="4" w:space="0"/>
            </w:tcBorders>
            <w:shd w:val="clear" w:color="auto" w:fill="C7EDCC"/>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20</w:t>
            </w:r>
          </w:p>
        </w:tc>
        <w:tc>
          <w:tcPr>
            <w:tcW w:w="774" w:type="dxa"/>
            <w:gridSpan w:val="2"/>
            <w:tcBorders>
              <w:top w:val="single" w:color="000000" w:sz="4" w:space="0"/>
              <w:left w:val="single" w:color="000000" w:sz="4" w:space="0"/>
              <w:bottom w:val="single" w:color="000000" w:sz="4" w:space="0"/>
              <w:right w:val="single" w:color="000000" w:sz="4" w:space="0"/>
            </w:tcBorders>
            <w:shd w:val="clear" w:color="auto" w:fill="C7EDCC"/>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20</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C7EDCC"/>
            <w:noWrap w:val="0"/>
            <w:vAlign w:val="center"/>
          </w:tcPr>
          <w:p>
            <w:pPr>
              <w:rPr>
                <w:rFonts w:hint="eastAsia" w:ascii="宋体" w:hAnsi="宋体" w:cs="宋体"/>
                <w:color w:val="000000"/>
                <w:sz w:val="20"/>
                <w:szCs w:val="20"/>
              </w:rPr>
            </w:pPr>
          </w:p>
        </w:tc>
      </w:tr>
      <w:tr>
        <w:tblPrEx>
          <w:tblCellMar>
            <w:top w:w="15" w:type="dxa"/>
            <w:left w:w="15" w:type="dxa"/>
            <w:bottom w:w="15" w:type="dxa"/>
            <w:right w:w="15" w:type="dxa"/>
          </w:tblCellMar>
        </w:tblPrEx>
        <w:trPr>
          <w:trHeight w:val="454" w:hRule="atLeast"/>
        </w:trPr>
        <w:tc>
          <w:tcPr>
            <w:tcW w:w="479" w:type="dxa"/>
            <w:vMerge w:val="continue"/>
            <w:tcBorders>
              <w:left w:val="single" w:color="000000" w:sz="4" w:space="0"/>
              <w:bottom w:val="single" w:color="000000" w:sz="4" w:space="0"/>
            </w:tcBorders>
            <w:shd w:val="clear" w:color="auto" w:fill="auto"/>
            <w:noWrap w:val="0"/>
            <w:vAlign w:val="center"/>
          </w:tcPr>
          <w:p>
            <w:pPr>
              <w:jc w:val="center"/>
              <w:rPr>
                <w:rFonts w:hint="eastAsia" w:ascii="宋体" w:hAnsi="宋体" w:cs="宋体"/>
                <w:b/>
                <w:color w:val="000000"/>
                <w:sz w:val="20"/>
                <w:szCs w:val="20"/>
              </w:rPr>
            </w:pPr>
          </w:p>
        </w:tc>
        <w:tc>
          <w:tcPr>
            <w:tcW w:w="848" w:type="dxa"/>
            <w:vMerge w:val="continue"/>
            <w:tcBorders>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cs="宋体"/>
                <w:color w:val="000000"/>
                <w:sz w:val="20"/>
                <w:szCs w:val="20"/>
              </w:rPr>
            </w:pPr>
          </w:p>
        </w:tc>
        <w:tc>
          <w:tcPr>
            <w:tcW w:w="1525" w:type="dxa"/>
            <w:vMerge w:val="continue"/>
            <w:tcBorders>
              <w:top w:val="single" w:color="000000" w:sz="4" w:space="0"/>
              <w:bottom w:val="single" w:color="000000" w:sz="4" w:space="0"/>
              <w:right w:val="single" w:color="000000" w:sz="4" w:space="0"/>
            </w:tcBorders>
            <w:shd w:val="clear" w:color="auto" w:fill="C7EDCC"/>
            <w:noWrap w:val="0"/>
            <w:vAlign w:val="center"/>
          </w:tcPr>
          <w:p>
            <w:pPr>
              <w:jc w:val="center"/>
              <w:rPr>
                <w:rFonts w:hint="eastAsia" w:ascii="宋体" w:hAnsi="宋体" w:cs="宋体"/>
                <w:color w:val="000000"/>
                <w:sz w:val="20"/>
                <w:szCs w:val="20"/>
              </w:rPr>
            </w:pPr>
          </w:p>
        </w:tc>
        <w:tc>
          <w:tcPr>
            <w:tcW w:w="2816" w:type="dxa"/>
            <w:gridSpan w:val="3"/>
            <w:tcBorders>
              <w:top w:val="single" w:color="000000" w:sz="4" w:space="0"/>
              <w:left w:val="single" w:color="000000" w:sz="4" w:space="0"/>
              <w:bottom w:val="single" w:color="000000" w:sz="4" w:space="0"/>
              <w:right w:val="single" w:color="000000" w:sz="4" w:space="0"/>
            </w:tcBorders>
            <w:shd w:val="clear" w:color="auto" w:fill="C7EDCC"/>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新增</w:t>
            </w:r>
            <w:r>
              <w:rPr>
                <w:rFonts w:hint="eastAsia" w:ascii="宋体" w:hAnsi="宋体" w:cs="宋体"/>
                <w:color w:val="000000"/>
                <w:sz w:val="20"/>
                <w:szCs w:val="20"/>
                <w:lang w:eastAsia="zh-CN"/>
              </w:rPr>
              <w:t>持证读者人数</w:t>
            </w:r>
          </w:p>
        </w:tc>
        <w:tc>
          <w:tcPr>
            <w:tcW w:w="876" w:type="dxa"/>
            <w:tcBorders>
              <w:top w:val="single" w:color="000000" w:sz="4" w:space="0"/>
              <w:left w:val="single" w:color="000000" w:sz="4" w:space="0"/>
              <w:bottom w:val="single" w:color="000000" w:sz="4" w:space="0"/>
              <w:right w:val="single" w:color="000000" w:sz="4" w:space="0"/>
            </w:tcBorders>
            <w:shd w:val="clear" w:color="auto" w:fill="C7EDCC"/>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900人</w:t>
            </w:r>
          </w:p>
        </w:tc>
        <w:tc>
          <w:tcPr>
            <w:tcW w:w="882" w:type="dxa"/>
            <w:tcBorders>
              <w:top w:val="single" w:color="000000" w:sz="4" w:space="0"/>
              <w:left w:val="single" w:color="000000" w:sz="4" w:space="0"/>
              <w:bottom w:val="single" w:color="000000" w:sz="4" w:space="0"/>
              <w:right w:val="single" w:color="000000" w:sz="4" w:space="0"/>
            </w:tcBorders>
            <w:shd w:val="clear" w:color="auto" w:fill="C7EDCC"/>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lang w:val="en-US" w:eastAsia="zh-CN"/>
              </w:rPr>
              <w:t>1100人</w:t>
            </w:r>
          </w:p>
        </w:tc>
        <w:tc>
          <w:tcPr>
            <w:tcW w:w="789" w:type="dxa"/>
            <w:gridSpan w:val="2"/>
            <w:tcBorders>
              <w:top w:val="single" w:color="000000" w:sz="4" w:space="0"/>
              <w:left w:val="single" w:color="000000" w:sz="4" w:space="0"/>
              <w:bottom w:val="single" w:color="000000" w:sz="4" w:space="0"/>
              <w:right w:val="single" w:color="000000" w:sz="4" w:space="0"/>
            </w:tcBorders>
            <w:shd w:val="clear" w:color="auto" w:fill="C7EDCC"/>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w:t>
            </w:r>
          </w:p>
        </w:tc>
        <w:tc>
          <w:tcPr>
            <w:tcW w:w="774" w:type="dxa"/>
            <w:gridSpan w:val="2"/>
            <w:tcBorders>
              <w:top w:val="single" w:color="000000" w:sz="4" w:space="0"/>
              <w:left w:val="single" w:color="000000" w:sz="4" w:space="0"/>
              <w:bottom w:val="single" w:color="000000" w:sz="4" w:space="0"/>
              <w:right w:val="single" w:color="000000" w:sz="4" w:space="0"/>
            </w:tcBorders>
            <w:shd w:val="clear" w:color="auto" w:fill="C7EDCC"/>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C7EDCC"/>
            <w:noWrap w:val="0"/>
            <w:vAlign w:val="center"/>
          </w:tcPr>
          <w:p>
            <w:pPr>
              <w:rPr>
                <w:rFonts w:hint="eastAsia" w:ascii="宋体" w:hAnsi="宋体" w:cs="宋体"/>
                <w:color w:val="000000"/>
                <w:sz w:val="20"/>
                <w:szCs w:val="20"/>
              </w:rPr>
            </w:pPr>
          </w:p>
        </w:tc>
      </w:tr>
      <w:tr>
        <w:tblPrEx>
          <w:tblCellMar>
            <w:top w:w="15" w:type="dxa"/>
            <w:left w:w="15" w:type="dxa"/>
            <w:bottom w:w="15" w:type="dxa"/>
            <w:right w:w="15" w:type="dxa"/>
          </w:tblCellMar>
        </w:tblPrEx>
        <w:trPr>
          <w:trHeight w:val="512" w:hRule="atLeast"/>
        </w:trPr>
        <w:tc>
          <w:tcPr>
            <w:tcW w:w="479" w:type="dxa"/>
            <w:vMerge w:val="continue"/>
            <w:tcBorders>
              <w:left w:val="single" w:color="000000" w:sz="4" w:space="0"/>
              <w:bottom w:val="single" w:color="000000" w:sz="4" w:space="0"/>
            </w:tcBorders>
            <w:shd w:val="clear" w:color="auto" w:fill="auto"/>
            <w:noWrap w:val="0"/>
            <w:vAlign w:val="center"/>
          </w:tcPr>
          <w:p>
            <w:pPr>
              <w:jc w:val="center"/>
              <w:rPr>
                <w:rFonts w:hint="eastAsia" w:ascii="宋体" w:hAnsi="宋体" w:cs="宋体"/>
                <w:b/>
                <w:color w:val="000000"/>
                <w:sz w:val="20"/>
                <w:szCs w:val="20"/>
              </w:rPr>
            </w:pPr>
          </w:p>
        </w:tc>
        <w:tc>
          <w:tcPr>
            <w:tcW w:w="848" w:type="dxa"/>
            <w:vMerge w:val="continue"/>
            <w:tcBorders>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cs="宋体"/>
                <w:color w:val="000000"/>
                <w:sz w:val="20"/>
                <w:szCs w:val="20"/>
              </w:rPr>
            </w:pPr>
          </w:p>
        </w:tc>
        <w:tc>
          <w:tcPr>
            <w:tcW w:w="1525" w:type="dxa"/>
            <w:vMerge w:val="continue"/>
            <w:tcBorders>
              <w:top w:val="single" w:color="000000" w:sz="4" w:space="0"/>
              <w:bottom w:val="single" w:color="000000" w:sz="4" w:space="0"/>
              <w:right w:val="single" w:color="000000" w:sz="4" w:space="0"/>
            </w:tcBorders>
            <w:shd w:val="clear" w:color="auto" w:fill="C7EDCC"/>
            <w:noWrap w:val="0"/>
            <w:vAlign w:val="center"/>
          </w:tcPr>
          <w:p>
            <w:pPr>
              <w:jc w:val="center"/>
              <w:rPr>
                <w:rFonts w:hint="eastAsia" w:ascii="宋体" w:hAnsi="宋体" w:cs="宋体"/>
                <w:color w:val="000000"/>
                <w:sz w:val="20"/>
                <w:szCs w:val="20"/>
              </w:rPr>
            </w:pPr>
          </w:p>
        </w:tc>
        <w:tc>
          <w:tcPr>
            <w:tcW w:w="2816" w:type="dxa"/>
            <w:gridSpan w:val="3"/>
            <w:tcBorders>
              <w:top w:val="single" w:color="000000" w:sz="4" w:space="0"/>
              <w:left w:val="single" w:color="000000" w:sz="4" w:space="0"/>
              <w:bottom w:val="single" w:color="000000" w:sz="4" w:space="0"/>
              <w:right w:val="single" w:color="000000" w:sz="4" w:space="0"/>
            </w:tcBorders>
            <w:shd w:val="clear" w:color="auto" w:fill="C7EDCC"/>
            <w:noWrap w:val="0"/>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rPr>
              <w:t>图书外借</w:t>
            </w:r>
            <w:r>
              <w:rPr>
                <w:rFonts w:hint="eastAsia" w:ascii="宋体" w:hAnsi="宋体" w:cs="宋体"/>
                <w:color w:val="000000"/>
                <w:sz w:val="20"/>
                <w:szCs w:val="20"/>
                <w:lang w:eastAsia="zh-CN"/>
              </w:rPr>
              <w:t>册次</w:t>
            </w:r>
          </w:p>
        </w:tc>
        <w:tc>
          <w:tcPr>
            <w:tcW w:w="876" w:type="dxa"/>
            <w:tcBorders>
              <w:top w:val="single" w:color="000000" w:sz="4" w:space="0"/>
              <w:left w:val="single" w:color="000000" w:sz="4" w:space="0"/>
              <w:bottom w:val="single" w:color="000000" w:sz="4" w:space="0"/>
              <w:right w:val="single" w:color="000000" w:sz="4" w:space="0"/>
            </w:tcBorders>
            <w:shd w:val="clear" w:color="auto" w:fill="C7EDCC"/>
            <w:noWrap w:val="0"/>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6万册</w:t>
            </w:r>
          </w:p>
        </w:tc>
        <w:tc>
          <w:tcPr>
            <w:tcW w:w="882" w:type="dxa"/>
            <w:tcBorders>
              <w:top w:val="single" w:color="000000" w:sz="4" w:space="0"/>
              <w:left w:val="single" w:color="000000" w:sz="4" w:space="0"/>
              <w:bottom w:val="single" w:color="000000" w:sz="4" w:space="0"/>
              <w:right w:val="single" w:color="000000" w:sz="4" w:space="0"/>
            </w:tcBorders>
            <w:shd w:val="clear" w:color="auto" w:fill="C7EDCC"/>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lang w:val="en-US" w:eastAsia="zh-CN"/>
              </w:rPr>
              <w:t>7万册</w:t>
            </w:r>
          </w:p>
        </w:tc>
        <w:tc>
          <w:tcPr>
            <w:tcW w:w="789" w:type="dxa"/>
            <w:gridSpan w:val="2"/>
            <w:tcBorders>
              <w:top w:val="single" w:color="000000" w:sz="4" w:space="0"/>
              <w:left w:val="single" w:color="000000" w:sz="4" w:space="0"/>
              <w:bottom w:val="single" w:color="000000" w:sz="4" w:space="0"/>
              <w:right w:val="single" w:color="000000" w:sz="4" w:space="0"/>
            </w:tcBorders>
            <w:shd w:val="clear" w:color="auto" w:fill="C7EDCC"/>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w:t>
            </w:r>
          </w:p>
        </w:tc>
        <w:tc>
          <w:tcPr>
            <w:tcW w:w="774" w:type="dxa"/>
            <w:gridSpan w:val="2"/>
            <w:tcBorders>
              <w:top w:val="single" w:color="000000" w:sz="4" w:space="0"/>
              <w:left w:val="single" w:color="000000" w:sz="4" w:space="0"/>
              <w:bottom w:val="single" w:color="000000" w:sz="4" w:space="0"/>
              <w:right w:val="single" w:color="000000" w:sz="4" w:space="0"/>
            </w:tcBorders>
            <w:shd w:val="clear" w:color="auto" w:fill="C7EDCC"/>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lang w:val="en-US" w:eastAsia="zh-CN"/>
              </w:rPr>
              <w:t>10</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C7EDCC"/>
            <w:noWrap w:val="0"/>
            <w:vAlign w:val="center"/>
          </w:tcPr>
          <w:p>
            <w:pPr>
              <w:rPr>
                <w:rFonts w:hint="eastAsia" w:ascii="宋体" w:hAnsi="宋体" w:cs="宋体"/>
                <w:color w:val="000000"/>
                <w:sz w:val="20"/>
                <w:szCs w:val="20"/>
              </w:rPr>
            </w:pPr>
          </w:p>
        </w:tc>
      </w:tr>
      <w:tr>
        <w:tblPrEx>
          <w:tblCellMar>
            <w:top w:w="15" w:type="dxa"/>
            <w:left w:w="15" w:type="dxa"/>
            <w:bottom w:w="15" w:type="dxa"/>
            <w:right w:w="15" w:type="dxa"/>
          </w:tblCellMar>
        </w:tblPrEx>
        <w:trPr>
          <w:trHeight w:val="571" w:hRule="atLeast"/>
        </w:trPr>
        <w:tc>
          <w:tcPr>
            <w:tcW w:w="479" w:type="dxa"/>
            <w:vMerge w:val="continue"/>
            <w:tcBorders>
              <w:left w:val="single" w:color="000000" w:sz="4" w:space="0"/>
              <w:bottom w:val="single" w:color="000000" w:sz="4" w:space="0"/>
            </w:tcBorders>
            <w:shd w:val="clear" w:color="auto" w:fill="auto"/>
            <w:noWrap w:val="0"/>
            <w:vAlign w:val="center"/>
          </w:tcPr>
          <w:p>
            <w:pPr>
              <w:jc w:val="center"/>
              <w:rPr>
                <w:rFonts w:hint="eastAsia" w:ascii="宋体" w:hAnsi="宋体" w:cs="宋体"/>
                <w:b/>
                <w:color w:val="000000"/>
                <w:sz w:val="20"/>
                <w:szCs w:val="20"/>
              </w:rPr>
            </w:pPr>
          </w:p>
        </w:tc>
        <w:tc>
          <w:tcPr>
            <w:tcW w:w="848" w:type="dxa"/>
            <w:vMerge w:val="continue"/>
            <w:tcBorders>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cs="宋体"/>
                <w:color w:val="000000"/>
                <w:sz w:val="20"/>
                <w:szCs w:val="20"/>
              </w:rPr>
            </w:pPr>
          </w:p>
        </w:tc>
        <w:tc>
          <w:tcPr>
            <w:tcW w:w="1525" w:type="dxa"/>
            <w:vMerge w:val="continue"/>
            <w:tcBorders>
              <w:top w:val="single" w:color="000000" w:sz="4" w:space="0"/>
              <w:bottom w:val="single" w:color="000000" w:sz="4" w:space="0"/>
              <w:right w:val="single" w:color="000000" w:sz="4" w:space="0"/>
            </w:tcBorders>
            <w:shd w:val="clear" w:color="auto" w:fill="C7EDCC"/>
            <w:noWrap w:val="0"/>
            <w:vAlign w:val="center"/>
          </w:tcPr>
          <w:p>
            <w:pPr>
              <w:jc w:val="center"/>
              <w:rPr>
                <w:rFonts w:hint="eastAsia" w:ascii="宋体" w:hAnsi="宋体" w:cs="宋体"/>
                <w:color w:val="000000"/>
                <w:sz w:val="20"/>
                <w:szCs w:val="20"/>
              </w:rPr>
            </w:pPr>
          </w:p>
        </w:tc>
        <w:tc>
          <w:tcPr>
            <w:tcW w:w="2816" w:type="dxa"/>
            <w:gridSpan w:val="3"/>
            <w:tcBorders>
              <w:top w:val="single" w:color="000000" w:sz="4" w:space="0"/>
              <w:left w:val="single" w:color="000000" w:sz="4" w:space="0"/>
              <w:bottom w:val="single" w:color="000000" w:sz="4" w:space="0"/>
              <w:right w:val="single" w:color="000000" w:sz="4" w:space="0"/>
            </w:tcBorders>
            <w:shd w:val="clear" w:color="auto" w:fill="C7EDCC"/>
            <w:noWrap w:val="0"/>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rPr>
              <w:t>举办读者活动</w:t>
            </w:r>
            <w:r>
              <w:rPr>
                <w:rFonts w:hint="eastAsia" w:ascii="宋体" w:hAnsi="宋体" w:cs="宋体"/>
                <w:color w:val="000000"/>
                <w:sz w:val="20"/>
                <w:szCs w:val="20"/>
                <w:lang w:eastAsia="zh-CN"/>
              </w:rPr>
              <w:t>次数</w:t>
            </w:r>
          </w:p>
        </w:tc>
        <w:tc>
          <w:tcPr>
            <w:tcW w:w="876" w:type="dxa"/>
            <w:tcBorders>
              <w:top w:val="single" w:color="000000" w:sz="4" w:space="0"/>
              <w:left w:val="single" w:color="000000" w:sz="4" w:space="0"/>
              <w:bottom w:val="single" w:color="000000" w:sz="4" w:space="0"/>
              <w:right w:val="single" w:color="000000" w:sz="4" w:space="0"/>
            </w:tcBorders>
            <w:shd w:val="clear" w:color="auto" w:fill="C7EDCC"/>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35次</w:t>
            </w:r>
          </w:p>
        </w:tc>
        <w:tc>
          <w:tcPr>
            <w:tcW w:w="882" w:type="dxa"/>
            <w:tcBorders>
              <w:top w:val="single" w:color="000000" w:sz="4" w:space="0"/>
              <w:left w:val="single" w:color="000000" w:sz="4" w:space="0"/>
              <w:bottom w:val="single" w:color="000000" w:sz="4" w:space="0"/>
              <w:right w:val="single" w:color="000000" w:sz="4" w:space="0"/>
            </w:tcBorders>
            <w:shd w:val="clear" w:color="auto" w:fill="C7EDCC"/>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lang w:val="en-US" w:eastAsia="zh-CN"/>
              </w:rPr>
              <w:t>44次</w:t>
            </w:r>
          </w:p>
        </w:tc>
        <w:tc>
          <w:tcPr>
            <w:tcW w:w="789" w:type="dxa"/>
            <w:gridSpan w:val="2"/>
            <w:tcBorders>
              <w:top w:val="single" w:color="000000" w:sz="4" w:space="0"/>
              <w:left w:val="single" w:color="000000" w:sz="4" w:space="0"/>
              <w:bottom w:val="single" w:color="000000" w:sz="4" w:space="0"/>
              <w:right w:val="single" w:color="000000" w:sz="4" w:space="0"/>
            </w:tcBorders>
            <w:shd w:val="clear" w:color="auto" w:fill="C7EDCC"/>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w:t>
            </w:r>
          </w:p>
        </w:tc>
        <w:tc>
          <w:tcPr>
            <w:tcW w:w="774" w:type="dxa"/>
            <w:gridSpan w:val="2"/>
            <w:tcBorders>
              <w:top w:val="single" w:color="000000" w:sz="4" w:space="0"/>
              <w:left w:val="single" w:color="000000" w:sz="4" w:space="0"/>
              <w:bottom w:val="single" w:color="000000" w:sz="4" w:space="0"/>
              <w:right w:val="single" w:color="000000" w:sz="4" w:space="0"/>
            </w:tcBorders>
            <w:shd w:val="clear" w:color="auto" w:fill="C7EDCC"/>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lang w:val="en-US" w:eastAsia="zh-CN"/>
              </w:rPr>
              <w:t>10</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C7EDCC"/>
            <w:noWrap w:val="0"/>
            <w:vAlign w:val="center"/>
          </w:tcPr>
          <w:p>
            <w:pPr>
              <w:rPr>
                <w:rFonts w:hint="eastAsia" w:ascii="宋体" w:hAnsi="宋体" w:cs="宋体"/>
                <w:color w:val="000000"/>
                <w:sz w:val="20"/>
                <w:szCs w:val="20"/>
              </w:rPr>
            </w:pPr>
          </w:p>
        </w:tc>
      </w:tr>
      <w:tr>
        <w:tblPrEx>
          <w:tblCellMar>
            <w:top w:w="15" w:type="dxa"/>
            <w:left w:w="15" w:type="dxa"/>
            <w:bottom w:w="15" w:type="dxa"/>
            <w:right w:w="15" w:type="dxa"/>
          </w:tblCellMar>
        </w:tblPrEx>
        <w:trPr>
          <w:trHeight w:val="795" w:hRule="atLeast"/>
        </w:trPr>
        <w:tc>
          <w:tcPr>
            <w:tcW w:w="47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s="宋体"/>
                <w:b/>
                <w:color w:val="000000"/>
                <w:sz w:val="20"/>
                <w:szCs w:val="20"/>
              </w:rPr>
            </w:pPr>
          </w:p>
        </w:tc>
        <w:tc>
          <w:tcPr>
            <w:tcW w:w="848" w:type="dxa"/>
            <w:tcBorders>
              <w:top w:val="single" w:color="auto" w:sz="4" w:space="0"/>
              <w:bottom w:val="single" w:color="auto"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效益指标（30分）</w:t>
            </w:r>
          </w:p>
        </w:tc>
        <w:tc>
          <w:tcPr>
            <w:tcW w:w="1525" w:type="dxa"/>
            <w:tcBorders>
              <w:top w:val="single" w:color="auto" w:sz="4" w:space="0"/>
              <w:left w:val="single" w:color="000000" w:sz="4" w:space="0"/>
              <w:bottom w:val="single" w:color="auto" w:sz="4" w:space="0"/>
              <w:right w:val="single" w:color="000000" w:sz="4" w:space="0"/>
            </w:tcBorders>
            <w:shd w:val="clear" w:color="auto" w:fill="C7EDCC"/>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社会效益</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指标</w:t>
            </w:r>
          </w:p>
        </w:tc>
        <w:tc>
          <w:tcPr>
            <w:tcW w:w="2816" w:type="dxa"/>
            <w:gridSpan w:val="3"/>
            <w:tcBorders>
              <w:top w:val="single" w:color="000000" w:sz="4" w:space="0"/>
              <w:left w:val="single" w:color="000000" w:sz="4" w:space="0"/>
              <w:bottom w:val="single" w:color="000000" w:sz="4" w:space="0"/>
              <w:right w:val="single" w:color="000000" w:sz="4" w:space="0"/>
            </w:tcBorders>
            <w:shd w:val="clear" w:color="auto" w:fill="C7EDCC"/>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满足群众文化需求</w:t>
            </w:r>
          </w:p>
        </w:tc>
        <w:tc>
          <w:tcPr>
            <w:tcW w:w="876" w:type="dxa"/>
            <w:tcBorders>
              <w:top w:val="single" w:color="000000" w:sz="4" w:space="0"/>
              <w:left w:val="single" w:color="000000" w:sz="4" w:space="0"/>
              <w:bottom w:val="single" w:color="000000" w:sz="4" w:space="0"/>
              <w:right w:val="single" w:color="000000" w:sz="4" w:space="0"/>
            </w:tcBorders>
            <w:shd w:val="clear" w:color="auto" w:fill="C7EDCC"/>
            <w:noWrap w:val="0"/>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良好</w:t>
            </w:r>
          </w:p>
        </w:tc>
        <w:tc>
          <w:tcPr>
            <w:tcW w:w="882" w:type="dxa"/>
            <w:tcBorders>
              <w:top w:val="single" w:color="000000" w:sz="4" w:space="0"/>
              <w:left w:val="single" w:color="000000" w:sz="4" w:space="0"/>
              <w:bottom w:val="single" w:color="000000" w:sz="4" w:space="0"/>
              <w:right w:val="single" w:color="000000" w:sz="4" w:space="0"/>
            </w:tcBorders>
            <w:shd w:val="clear" w:color="auto" w:fill="C7EDCC"/>
            <w:noWrap w:val="0"/>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良好</w:t>
            </w:r>
          </w:p>
        </w:tc>
        <w:tc>
          <w:tcPr>
            <w:tcW w:w="789" w:type="dxa"/>
            <w:gridSpan w:val="2"/>
            <w:tcBorders>
              <w:top w:val="single" w:color="000000" w:sz="4" w:space="0"/>
              <w:left w:val="single" w:color="000000" w:sz="4" w:space="0"/>
              <w:bottom w:val="single" w:color="000000" w:sz="4" w:space="0"/>
              <w:right w:val="single" w:color="000000" w:sz="4" w:space="0"/>
            </w:tcBorders>
            <w:shd w:val="clear" w:color="auto" w:fill="C7EDCC"/>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30</w:t>
            </w:r>
          </w:p>
        </w:tc>
        <w:tc>
          <w:tcPr>
            <w:tcW w:w="774" w:type="dxa"/>
            <w:gridSpan w:val="2"/>
            <w:tcBorders>
              <w:top w:val="single" w:color="000000" w:sz="4" w:space="0"/>
              <w:left w:val="single" w:color="000000" w:sz="4" w:space="0"/>
              <w:bottom w:val="single" w:color="000000" w:sz="4" w:space="0"/>
              <w:right w:val="single" w:color="000000" w:sz="4" w:space="0"/>
            </w:tcBorders>
            <w:shd w:val="clear" w:color="auto" w:fill="C7EDCC"/>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26</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C7EDCC"/>
            <w:noWrap w:val="0"/>
            <w:vAlign w:val="center"/>
          </w:tcPr>
          <w:p>
            <w:pPr>
              <w:rPr>
                <w:rFonts w:hint="eastAsia" w:ascii="宋体" w:hAnsi="宋体" w:cs="宋体"/>
                <w:color w:val="000000"/>
                <w:sz w:val="20"/>
                <w:szCs w:val="20"/>
              </w:rPr>
            </w:pPr>
          </w:p>
        </w:tc>
      </w:tr>
      <w:tr>
        <w:tblPrEx>
          <w:tblCellMar>
            <w:top w:w="15" w:type="dxa"/>
            <w:left w:w="15" w:type="dxa"/>
            <w:bottom w:w="15" w:type="dxa"/>
            <w:right w:w="15" w:type="dxa"/>
          </w:tblCellMar>
        </w:tblPrEx>
        <w:trPr>
          <w:trHeight w:val="870" w:hRule="atLeast"/>
        </w:trPr>
        <w:tc>
          <w:tcPr>
            <w:tcW w:w="47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cs="宋体"/>
                <w:b/>
                <w:color w:val="000000"/>
                <w:sz w:val="20"/>
                <w:szCs w:val="20"/>
              </w:rPr>
            </w:pPr>
          </w:p>
        </w:tc>
        <w:tc>
          <w:tcPr>
            <w:tcW w:w="848" w:type="dxa"/>
            <w:tcBorders>
              <w:top w:val="single" w:color="auto" w:sz="4" w:space="0"/>
              <w:bottom w:val="single" w:color="auto"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满意度</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指标</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（10分）</w:t>
            </w:r>
          </w:p>
        </w:tc>
        <w:tc>
          <w:tcPr>
            <w:tcW w:w="1525" w:type="dxa"/>
            <w:tcBorders>
              <w:top w:val="single" w:color="auto" w:sz="4" w:space="0"/>
              <w:left w:val="single" w:color="000000" w:sz="4" w:space="0"/>
              <w:bottom w:val="single" w:color="auto" w:sz="4" w:space="0"/>
              <w:right w:val="single" w:color="000000" w:sz="4" w:space="0"/>
            </w:tcBorders>
            <w:shd w:val="clear" w:color="auto" w:fill="C7EDCC"/>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服务对象满意度指标</w:t>
            </w:r>
          </w:p>
        </w:tc>
        <w:tc>
          <w:tcPr>
            <w:tcW w:w="2816" w:type="dxa"/>
            <w:gridSpan w:val="3"/>
            <w:tcBorders>
              <w:top w:val="single" w:color="000000" w:sz="4" w:space="0"/>
              <w:left w:val="single" w:color="000000" w:sz="4" w:space="0"/>
              <w:bottom w:val="single" w:color="000000" w:sz="4" w:space="0"/>
              <w:right w:val="single" w:color="000000" w:sz="4" w:space="0"/>
            </w:tcBorders>
            <w:shd w:val="clear" w:color="auto" w:fill="C7EDCC"/>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lang w:eastAsia="zh-CN"/>
              </w:rPr>
              <w:t>市民</w:t>
            </w:r>
            <w:r>
              <w:rPr>
                <w:rFonts w:hint="eastAsia" w:ascii="宋体" w:hAnsi="宋体" w:cs="宋体"/>
                <w:color w:val="000000"/>
                <w:sz w:val="20"/>
                <w:szCs w:val="20"/>
              </w:rPr>
              <w:t>群众满意度提升</w:t>
            </w:r>
          </w:p>
        </w:tc>
        <w:tc>
          <w:tcPr>
            <w:tcW w:w="876" w:type="dxa"/>
            <w:tcBorders>
              <w:top w:val="single" w:color="000000" w:sz="4" w:space="0"/>
              <w:left w:val="single" w:color="000000" w:sz="4" w:space="0"/>
              <w:bottom w:val="single" w:color="000000" w:sz="4" w:space="0"/>
              <w:right w:val="single" w:color="000000" w:sz="4" w:space="0"/>
            </w:tcBorders>
            <w:shd w:val="clear" w:color="auto" w:fill="C7EDCC"/>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bidi="ar"/>
              </w:rPr>
              <w:t>≥90%</w:t>
            </w:r>
          </w:p>
        </w:tc>
        <w:tc>
          <w:tcPr>
            <w:tcW w:w="882" w:type="dxa"/>
            <w:tcBorders>
              <w:top w:val="single" w:color="000000" w:sz="4" w:space="0"/>
              <w:left w:val="single" w:color="000000" w:sz="4" w:space="0"/>
              <w:bottom w:val="single" w:color="000000" w:sz="4" w:space="0"/>
              <w:right w:val="single" w:color="000000" w:sz="4" w:space="0"/>
            </w:tcBorders>
            <w:shd w:val="clear" w:color="auto" w:fill="C7EDCC"/>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≥95%</w:t>
            </w:r>
          </w:p>
        </w:tc>
        <w:tc>
          <w:tcPr>
            <w:tcW w:w="789" w:type="dxa"/>
            <w:gridSpan w:val="2"/>
            <w:tcBorders>
              <w:top w:val="single" w:color="000000" w:sz="4" w:space="0"/>
              <w:left w:val="single" w:color="000000" w:sz="4" w:space="0"/>
              <w:bottom w:val="single" w:color="000000" w:sz="4" w:space="0"/>
              <w:right w:val="single" w:color="000000" w:sz="4" w:space="0"/>
            </w:tcBorders>
            <w:shd w:val="clear" w:color="auto" w:fill="C7EDCC"/>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bidi="ar"/>
              </w:rPr>
              <w:t>10</w:t>
            </w:r>
          </w:p>
        </w:tc>
        <w:tc>
          <w:tcPr>
            <w:tcW w:w="774" w:type="dxa"/>
            <w:gridSpan w:val="2"/>
            <w:tcBorders>
              <w:top w:val="single" w:color="000000" w:sz="4" w:space="0"/>
              <w:left w:val="single" w:color="000000" w:sz="4" w:space="0"/>
              <w:bottom w:val="single" w:color="000000" w:sz="4" w:space="0"/>
              <w:right w:val="single" w:color="000000" w:sz="4" w:space="0"/>
            </w:tcBorders>
            <w:shd w:val="clear" w:color="auto" w:fill="C7EDCC"/>
            <w:noWrap w:val="0"/>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val="en-US" w:eastAsia="zh-CN" w:bidi="ar"/>
              </w:rPr>
              <w:t>8</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C7EDCC"/>
            <w:noWrap w:val="0"/>
            <w:vAlign w:val="center"/>
          </w:tcPr>
          <w:p>
            <w:pPr>
              <w:rPr>
                <w:rFonts w:hint="eastAsia" w:ascii="宋体" w:hAnsi="宋体" w:cs="宋体"/>
                <w:color w:val="000000"/>
                <w:sz w:val="20"/>
                <w:szCs w:val="20"/>
              </w:rPr>
            </w:pPr>
          </w:p>
        </w:tc>
      </w:tr>
      <w:tr>
        <w:tblPrEx>
          <w:tblCellMar>
            <w:top w:w="15" w:type="dxa"/>
            <w:left w:w="15" w:type="dxa"/>
            <w:bottom w:w="15" w:type="dxa"/>
            <w:right w:w="15" w:type="dxa"/>
          </w:tblCellMar>
        </w:tblPrEx>
        <w:trPr>
          <w:trHeight w:val="495" w:hRule="atLeast"/>
        </w:trPr>
        <w:tc>
          <w:tcPr>
            <w:tcW w:w="1327" w:type="dxa"/>
            <w:gridSpan w:val="2"/>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总分</w:t>
            </w:r>
          </w:p>
        </w:tc>
        <w:tc>
          <w:tcPr>
            <w:tcW w:w="9433" w:type="dxa"/>
            <w:gridSpan w:val="1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b/>
                <w:color w:val="000000"/>
                <w:sz w:val="20"/>
                <w:szCs w:val="20"/>
                <w:lang w:val="en-US" w:eastAsia="zh-CN"/>
              </w:rPr>
            </w:pPr>
            <w:r>
              <w:rPr>
                <w:rFonts w:hint="eastAsia" w:ascii="宋体" w:hAnsi="宋体" w:cs="宋体"/>
                <w:b/>
                <w:color w:val="000000"/>
                <w:kern w:val="0"/>
                <w:sz w:val="20"/>
                <w:szCs w:val="20"/>
                <w:lang w:val="en-US" w:eastAsia="zh-CN" w:bidi="ar"/>
              </w:rPr>
              <w:t>90.00</w:t>
            </w:r>
          </w:p>
        </w:tc>
      </w:tr>
    </w:tbl>
    <w:p>
      <w:pPr>
        <w:spacing w:line="580" w:lineRule="exact"/>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方正小标宋简体" w:eastAsia="方正小标宋简体"/>
          <w:sz w:val="44"/>
          <w:szCs w:val="44"/>
        </w:rPr>
      </w:pPr>
      <w:r>
        <w:rPr>
          <w:rFonts w:hint="eastAsia" w:ascii="方正小标宋简体" w:hAnsi="方正小标宋简体" w:eastAsia="方正小标宋简体" w:cs="方正小标宋简体"/>
          <w:kern w:val="0"/>
          <w:sz w:val="44"/>
          <w:szCs w:val="44"/>
        </w:rPr>
        <w:t>2019</w:t>
      </w:r>
      <w:r>
        <w:rPr>
          <w:rFonts w:hint="eastAsia" w:ascii="方正小标宋简体" w:hAnsi="方正小标宋简体" w:eastAsia="方正小标宋简体" w:cs="方正小标宋简体"/>
          <w:sz w:val="44"/>
          <w:szCs w:val="44"/>
        </w:rPr>
        <w:t>年度</w:t>
      </w:r>
      <w:r>
        <w:rPr>
          <w:rFonts w:hint="eastAsia" w:ascii="方正小标宋简体" w:eastAsia="方正小标宋简体"/>
          <w:sz w:val="44"/>
          <w:szCs w:val="44"/>
          <w:lang w:eastAsia="zh-CN"/>
        </w:rPr>
        <w:t>曲阜市图书馆免费开放</w:t>
      </w:r>
      <w:r>
        <w:rPr>
          <w:rFonts w:hint="eastAsia" w:ascii="方正小标宋简体" w:eastAsia="方正小标宋简体"/>
          <w:sz w:val="44"/>
          <w:szCs w:val="44"/>
        </w:rPr>
        <w:t>资金</w:t>
      </w:r>
    </w:p>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绩效评价报告</w:t>
      </w:r>
    </w:p>
    <w:p>
      <w:pPr>
        <w:pStyle w:val="20"/>
        <w:widowControl w:val="0"/>
        <w:overflowPunct w:val="0"/>
        <w:spacing w:line="580" w:lineRule="exact"/>
        <w:ind w:firstLine="640"/>
        <w:rPr>
          <w:rFonts w:hAnsi="黑体" w:eastAsia="黑体"/>
        </w:rPr>
      </w:pPr>
      <w:r>
        <w:rPr>
          <w:rFonts w:hint="eastAsia" w:hAnsi="黑体" w:eastAsia="黑体"/>
        </w:rPr>
        <w:t>一、项目基本情况</w:t>
      </w:r>
    </w:p>
    <w:p>
      <w:pPr>
        <w:pStyle w:val="20"/>
        <w:widowControl w:val="0"/>
        <w:overflowPunct w:val="0"/>
        <w:spacing w:line="580" w:lineRule="exact"/>
        <w:ind w:firstLine="640"/>
        <w:rPr>
          <w:rFonts w:hint="eastAsia" w:ascii="楷体_GB2312" w:hAnsi="黑体" w:eastAsia="楷体_GB2312"/>
        </w:rPr>
      </w:pPr>
      <w:r>
        <w:rPr>
          <w:rFonts w:hint="eastAsia" w:ascii="楷体_GB2312" w:hAnsi="黑体" w:eastAsia="楷体_GB2312"/>
        </w:rPr>
        <w:t>（一）项目立项政策背景及实施的目的</w:t>
      </w:r>
    </w:p>
    <w:p>
      <w:pPr>
        <w:pStyle w:val="20"/>
        <w:widowControl w:val="0"/>
        <w:overflowPunct w:val="0"/>
        <w:spacing w:line="580" w:lineRule="exact"/>
        <w:ind w:firstLine="640"/>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曲阜市图书馆的工作职责为全面系统地收集各种文献资源，传承独具特色的地方文化，服务地方的经济文化建设，专项经费是我馆经常性的专项业务支出，是图书馆免费为读者提供图书、报刊借阅，实现自身功能的重要资金来源。 根据《关于加强美术馆、公共图书馆、文化馆（站）免费开放经费保障工作的通知》（财教[2011]31号）及《中央补助地方美术馆、公共图书馆、文化馆(站)免费开放专项资金管理暂行办法》(财教[2013]98号)等文件精神，及时编制项目预算，向上级部门争取资金支持。</w:t>
      </w:r>
    </w:p>
    <w:p>
      <w:pPr>
        <w:pStyle w:val="20"/>
        <w:widowControl w:val="0"/>
        <w:overflowPunct w:val="0"/>
        <w:spacing w:line="580" w:lineRule="exact"/>
        <w:ind w:firstLine="640"/>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实施的目的是举办各种文化展览，开展文化讲座活动，促进文化的交流与传播。</w:t>
      </w:r>
    </w:p>
    <w:p>
      <w:pPr>
        <w:numPr>
          <w:ilvl w:val="0"/>
          <w:numId w:val="1"/>
        </w:numPr>
        <w:overflowPunct w:val="0"/>
        <w:adjustRightInd w:val="0"/>
        <w:snapToGrid w:val="0"/>
        <w:spacing w:line="580" w:lineRule="exact"/>
        <w:ind w:firstLine="640"/>
        <w:rPr>
          <w:rFonts w:hint="eastAsia" w:ascii="楷体_GB2312" w:hAnsi="黑体" w:eastAsia="楷体_GB2312"/>
          <w:sz w:val="32"/>
          <w:szCs w:val="32"/>
        </w:rPr>
      </w:pPr>
      <w:r>
        <w:rPr>
          <w:rFonts w:hint="eastAsia" w:ascii="楷体_GB2312" w:hAnsi="黑体" w:eastAsia="楷体_GB2312"/>
          <w:sz w:val="32"/>
          <w:szCs w:val="32"/>
        </w:rPr>
        <w:t>项目内容和预算支出情况</w:t>
      </w:r>
    </w:p>
    <w:p>
      <w:pPr>
        <w:widowControl w:val="0"/>
        <w:numPr>
          <w:ilvl w:val="0"/>
          <w:numId w:val="0"/>
        </w:numPr>
        <w:overflowPunct w:val="0"/>
        <w:adjustRightInd w:val="0"/>
        <w:snapToGrid w:val="0"/>
        <w:spacing w:line="580" w:lineRule="exact"/>
        <w:ind w:firstLine="560" w:firstLineChars="200"/>
        <w:jc w:val="both"/>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曲阜市图书馆免费开放专项资金项目2019年度预算拨付资金总额20万元，主要用于1个项目。项目内容和预算支出情况如下：</w:t>
      </w:r>
    </w:p>
    <w:tbl>
      <w:tblPr>
        <w:tblStyle w:val="7"/>
        <w:tblW w:w="894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581"/>
        <w:gridCol w:w="4890"/>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0" w:type="dxa"/>
            <w:noWrap w:val="0"/>
            <w:vAlign w:val="center"/>
          </w:tcPr>
          <w:p>
            <w:pPr>
              <w:keepLines/>
              <w:widowControl/>
              <w:snapToGrid w:val="0"/>
              <w:ind w:left="-153" w:leftChars="-73" w:right="-16"/>
              <w:jc w:val="center"/>
              <w:rPr>
                <w:rFonts w:ascii="黑体" w:hAnsi="黑体" w:eastAsia="黑体" w:cs="黑体"/>
                <w:color w:val="000000"/>
                <w:sz w:val="24"/>
              </w:rPr>
            </w:pPr>
            <w:r>
              <w:rPr>
                <w:rFonts w:hint="eastAsia" w:ascii="黑体" w:hAnsi="黑体" w:eastAsia="黑体" w:cs="黑体"/>
                <w:color w:val="000000"/>
                <w:sz w:val="24"/>
              </w:rPr>
              <w:t xml:space="preserve"> 序号</w:t>
            </w:r>
          </w:p>
        </w:tc>
        <w:tc>
          <w:tcPr>
            <w:tcW w:w="1581" w:type="dxa"/>
            <w:noWrap w:val="0"/>
            <w:vAlign w:val="center"/>
          </w:tcPr>
          <w:p>
            <w:pPr>
              <w:keepLines/>
              <w:widowControl/>
              <w:snapToGrid w:val="0"/>
              <w:jc w:val="center"/>
              <w:rPr>
                <w:rFonts w:ascii="黑体" w:hAnsi="黑体" w:eastAsia="黑体" w:cs="黑体"/>
                <w:color w:val="000000"/>
                <w:sz w:val="24"/>
              </w:rPr>
            </w:pPr>
            <w:r>
              <w:rPr>
                <w:rFonts w:hint="eastAsia" w:ascii="黑体" w:hAnsi="黑体" w:eastAsia="黑体" w:cs="黑体"/>
                <w:color w:val="000000"/>
                <w:sz w:val="24"/>
              </w:rPr>
              <w:t>项目名称</w:t>
            </w:r>
          </w:p>
        </w:tc>
        <w:tc>
          <w:tcPr>
            <w:tcW w:w="4890" w:type="dxa"/>
            <w:noWrap w:val="0"/>
            <w:vAlign w:val="center"/>
          </w:tcPr>
          <w:p>
            <w:pPr>
              <w:keepLines/>
              <w:widowControl/>
              <w:snapToGrid w:val="0"/>
              <w:jc w:val="center"/>
              <w:rPr>
                <w:rFonts w:ascii="黑体" w:hAnsi="黑体" w:eastAsia="黑体" w:cs="黑体"/>
                <w:color w:val="000000"/>
                <w:sz w:val="24"/>
              </w:rPr>
            </w:pPr>
            <w:r>
              <w:rPr>
                <w:rFonts w:hint="eastAsia" w:ascii="黑体" w:hAnsi="黑体" w:eastAsia="黑体" w:cs="黑体"/>
                <w:color w:val="000000"/>
                <w:sz w:val="24"/>
              </w:rPr>
              <w:t>项目内容</w:t>
            </w:r>
          </w:p>
        </w:tc>
        <w:tc>
          <w:tcPr>
            <w:tcW w:w="1635" w:type="dxa"/>
            <w:noWrap w:val="0"/>
            <w:vAlign w:val="center"/>
          </w:tcPr>
          <w:p>
            <w:pPr>
              <w:keepLines/>
              <w:widowControl/>
              <w:snapToGrid w:val="0"/>
              <w:jc w:val="center"/>
              <w:rPr>
                <w:rFonts w:ascii="黑体" w:hAnsi="黑体" w:eastAsia="黑体" w:cs="黑体"/>
                <w:color w:val="000000"/>
                <w:sz w:val="24"/>
              </w:rPr>
            </w:pPr>
            <w:r>
              <w:rPr>
                <w:rFonts w:hint="eastAsia" w:ascii="黑体" w:hAnsi="黑体" w:eastAsia="黑体" w:cs="黑体"/>
                <w:color w:val="000000"/>
                <w:sz w:val="24"/>
              </w:rPr>
              <w:t>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0" w:type="dxa"/>
            <w:noWrap w:val="0"/>
            <w:vAlign w:val="center"/>
          </w:tcPr>
          <w:p>
            <w:pPr>
              <w:keepLines/>
              <w:widowControl/>
              <w:snapToGrid w:val="0"/>
              <w:spacing w:line="440" w:lineRule="exact"/>
              <w:jc w:val="center"/>
              <w:rPr>
                <w:rFonts w:ascii="宋体" w:hAnsi="宋体" w:cs="宋体"/>
                <w:color w:val="000000"/>
                <w:sz w:val="24"/>
              </w:rPr>
            </w:pPr>
            <w:r>
              <w:rPr>
                <w:rFonts w:hint="eastAsia" w:ascii="宋体" w:hAnsi="宋体" w:cs="宋体"/>
                <w:color w:val="000000"/>
                <w:sz w:val="24"/>
              </w:rPr>
              <w:t>1</w:t>
            </w:r>
          </w:p>
        </w:tc>
        <w:tc>
          <w:tcPr>
            <w:tcW w:w="1581" w:type="dxa"/>
            <w:noWrap w:val="0"/>
            <w:vAlign w:val="center"/>
          </w:tcPr>
          <w:p>
            <w:pPr>
              <w:keepLines/>
              <w:widowControl/>
              <w:snapToGrid w:val="0"/>
              <w:spacing w:line="400" w:lineRule="exact"/>
              <w:jc w:val="center"/>
              <w:rPr>
                <w:rFonts w:hint="eastAsia" w:ascii="宋体" w:hAnsi="宋体" w:cs="宋体" w:eastAsiaTheme="minorEastAsia"/>
                <w:color w:val="000000"/>
                <w:sz w:val="24"/>
                <w:lang w:eastAsia="zh-CN"/>
              </w:rPr>
            </w:pPr>
            <w:r>
              <w:rPr>
                <w:rFonts w:hint="eastAsia" w:ascii="宋体" w:hAnsi="宋体" w:eastAsia="宋体" w:cs="宋体"/>
                <w:kern w:val="0"/>
                <w:sz w:val="21"/>
                <w:szCs w:val="21"/>
                <w:lang w:val="en-US" w:eastAsia="zh-CN" w:bidi="ar-SA"/>
              </w:rPr>
              <w:t>免费开放</w:t>
            </w:r>
          </w:p>
        </w:tc>
        <w:tc>
          <w:tcPr>
            <w:tcW w:w="4890" w:type="dxa"/>
            <w:noWrap w:val="0"/>
            <w:vAlign w:val="center"/>
          </w:tcPr>
          <w:p>
            <w:pPr>
              <w:widowControl w:val="0"/>
              <w:numPr>
                <w:ilvl w:val="0"/>
                <w:numId w:val="0"/>
              </w:numPr>
              <w:overflowPunct w:val="0"/>
              <w:adjustRightInd w:val="0"/>
              <w:snapToGrid w:val="0"/>
              <w:spacing w:line="580" w:lineRule="exact"/>
              <w:jc w:val="both"/>
              <w:rPr>
                <w:rFonts w:ascii="宋体" w:hAnsi="宋体" w:cs="宋体"/>
                <w:color w:val="000000"/>
                <w:sz w:val="24"/>
                <w:highlight w:val="yellow"/>
              </w:rPr>
            </w:pPr>
            <w:r>
              <w:rPr>
                <w:rFonts w:hint="eastAsia" w:ascii="宋体" w:hAnsi="宋体" w:eastAsia="宋体" w:cs="宋体"/>
                <w:kern w:val="0"/>
                <w:sz w:val="21"/>
                <w:szCs w:val="21"/>
                <w:lang w:val="en-US" w:eastAsia="zh-CN" w:bidi="ar-SA"/>
              </w:rPr>
              <w:t>运行维护:水电运行费、设施维护费、物业管理费。电子信息设备维护:计算机设备维护费、网络与宽带接入费。宣传、服务资料、各种制度建设费。</w:t>
            </w:r>
          </w:p>
        </w:tc>
        <w:tc>
          <w:tcPr>
            <w:tcW w:w="1635" w:type="dxa"/>
            <w:noWrap w:val="0"/>
            <w:vAlign w:val="center"/>
          </w:tcPr>
          <w:p>
            <w:pPr>
              <w:keepLines/>
              <w:widowControl/>
              <w:snapToGrid w:val="0"/>
              <w:spacing w:line="400" w:lineRule="exact"/>
              <w:jc w:val="center"/>
              <w:rPr>
                <w:rFonts w:hint="default" w:ascii="宋体" w:hAnsi="宋体" w:cs="宋体" w:eastAsiaTheme="minorEastAsia"/>
                <w:color w:val="000000"/>
                <w:sz w:val="24"/>
                <w:lang w:val="en-US" w:eastAsia="zh-CN"/>
              </w:rPr>
            </w:pPr>
            <w:r>
              <w:rPr>
                <w:rFonts w:hint="eastAsia" w:ascii="宋体" w:hAnsi="宋体" w:cs="宋体"/>
                <w:color w:val="000000"/>
                <w:sz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7311" w:type="dxa"/>
            <w:gridSpan w:val="3"/>
            <w:noWrap w:val="0"/>
            <w:vAlign w:val="center"/>
          </w:tcPr>
          <w:p>
            <w:pPr>
              <w:keepLines/>
              <w:widowControl/>
              <w:snapToGrid w:val="0"/>
              <w:spacing w:line="400" w:lineRule="exact"/>
              <w:jc w:val="center"/>
              <w:rPr>
                <w:rFonts w:ascii="宋体" w:hAnsi="宋体" w:cs="宋体"/>
                <w:color w:val="000000"/>
                <w:sz w:val="24"/>
              </w:rPr>
            </w:pPr>
            <w:r>
              <w:rPr>
                <w:rFonts w:hint="eastAsia" w:ascii="宋体" w:hAnsi="宋体" w:cs="宋体"/>
                <w:color w:val="000000"/>
                <w:sz w:val="24"/>
              </w:rPr>
              <w:t>总 计</w:t>
            </w:r>
          </w:p>
        </w:tc>
        <w:tc>
          <w:tcPr>
            <w:tcW w:w="1635" w:type="dxa"/>
            <w:noWrap w:val="0"/>
            <w:vAlign w:val="center"/>
          </w:tcPr>
          <w:p>
            <w:pPr>
              <w:keepLines/>
              <w:widowControl/>
              <w:snapToGrid w:val="0"/>
              <w:spacing w:line="400" w:lineRule="exact"/>
              <w:jc w:val="center"/>
              <w:rPr>
                <w:rFonts w:hint="default" w:ascii="宋体" w:hAnsi="宋体" w:cs="宋体" w:eastAsiaTheme="minorEastAsia"/>
                <w:color w:val="000000"/>
                <w:sz w:val="24"/>
                <w:lang w:val="en-US" w:eastAsia="zh-CN"/>
              </w:rPr>
            </w:pPr>
            <w:r>
              <w:rPr>
                <w:rFonts w:hint="eastAsia" w:ascii="宋体" w:hAnsi="宋体" w:cs="宋体"/>
                <w:color w:val="000000"/>
                <w:sz w:val="24"/>
                <w:lang w:val="en-US" w:eastAsia="zh-CN"/>
              </w:rPr>
              <w:t>20</w:t>
            </w:r>
          </w:p>
        </w:tc>
      </w:tr>
    </w:tbl>
    <w:p>
      <w:pPr>
        <w:overflowPunct w:val="0"/>
        <w:adjustRightInd w:val="0"/>
        <w:snapToGrid w:val="0"/>
        <w:spacing w:line="580" w:lineRule="exact"/>
        <w:ind w:firstLine="640"/>
        <w:rPr>
          <w:rFonts w:ascii="楷体_GB2312" w:hAnsi="黑体" w:eastAsia="楷体_GB2312"/>
          <w:sz w:val="32"/>
          <w:szCs w:val="32"/>
        </w:rPr>
      </w:pPr>
      <w:r>
        <w:rPr>
          <w:rFonts w:hint="eastAsia" w:ascii="楷体_GB2312" w:hAnsi="黑体" w:eastAsia="楷体_GB2312"/>
          <w:sz w:val="32"/>
          <w:szCs w:val="32"/>
        </w:rPr>
        <w:t>（三）项目绩效目标</w:t>
      </w:r>
    </w:p>
    <w:p>
      <w:pPr>
        <w:overflowPunct w:val="0"/>
        <w:adjustRightInd w:val="0"/>
        <w:snapToGrid w:val="0"/>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楷体_GB2312" w:hAnsi="黑体" w:eastAsia="楷体_GB2312" w:cstheme="minorBidi"/>
          <w:kern w:val="0"/>
          <w:sz w:val="32"/>
          <w:szCs w:val="32"/>
          <w:lang w:val="en-US" w:eastAsia="zh-CN" w:bidi="ar-SA"/>
        </w:rPr>
        <w:t>项目绩效总目标</w:t>
      </w:r>
    </w:p>
    <w:p>
      <w:pPr>
        <w:pStyle w:val="20"/>
        <w:widowControl w:val="0"/>
        <w:overflowPunct w:val="0"/>
        <w:spacing w:line="580" w:lineRule="exact"/>
        <w:ind w:firstLine="640"/>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资金使用情况良好，丰富人民业余文化生活，开展各式各样的读书活动，满足人民群众的基本文化要求，保障人民群众最基本的文化权益，大力发展社会主义先进文化，推动社会主义经济社会发展和社会主义和谐社会的建设。</w:t>
      </w:r>
    </w:p>
    <w:p>
      <w:pPr>
        <w:pStyle w:val="20"/>
        <w:widowControl w:val="0"/>
        <w:numPr>
          <w:ilvl w:val="0"/>
          <w:numId w:val="0"/>
        </w:numPr>
        <w:overflowPunct w:val="0"/>
        <w:spacing w:line="580" w:lineRule="exact"/>
        <w:ind w:firstLine="640" w:firstLineChars="200"/>
        <w:rPr>
          <w:rFonts w:hint="eastAsia" w:ascii="楷体_GB2312" w:hAnsi="黑体" w:eastAsia="楷体_GB2312"/>
          <w:lang w:val="en-US" w:eastAsia="zh-CN"/>
        </w:rPr>
      </w:pPr>
      <w:r>
        <w:rPr>
          <w:rFonts w:hint="eastAsia" w:ascii="楷体_GB2312" w:hAnsi="黑体" w:eastAsia="楷体_GB2312"/>
          <w:lang w:val="en-US" w:eastAsia="zh-CN"/>
        </w:rPr>
        <w:t>2.项目2019年度绩效目标</w:t>
      </w:r>
    </w:p>
    <w:p>
      <w:pPr>
        <w:pStyle w:val="20"/>
        <w:widowControl w:val="0"/>
        <w:overflowPunct w:val="0"/>
        <w:spacing w:line="580" w:lineRule="exact"/>
        <w:ind w:firstLine="640"/>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全年服务市民数量13万人次,新增持证者1000名,持证读者总量达到1.4万人,图书外借6万册次,举办读者活动35次，提升图书资源流转效率。</w:t>
      </w:r>
    </w:p>
    <w:p>
      <w:pPr>
        <w:pStyle w:val="20"/>
        <w:widowControl w:val="0"/>
        <w:overflowPunct w:val="0"/>
        <w:spacing w:line="580" w:lineRule="exact"/>
        <w:ind w:firstLine="640"/>
        <w:rPr>
          <w:rFonts w:hint="eastAsia" w:ascii="楷体_GB2312" w:hAnsi="黑体" w:eastAsia="楷体_GB2312"/>
        </w:rPr>
      </w:pPr>
      <w:r>
        <w:rPr>
          <w:rFonts w:hint="eastAsia" w:ascii="楷体_GB2312" w:hAnsi="黑体" w:eastAsia="楷体_GB2312"/>
        </w:rPr>
        <w:t>二、绩效评价工作开展情况</w:t>
      </w:r>
    </w:p>
    <w:p>
      <w:pPr>
        <w:pStyle w:val="20"/>
        <w:widowControl w:val="0"/>
        <w:overflowPunct w:val="0"/>
        <w:spacing w:line="580" w:lineRule="exact"/>
        <w:ind w:firstLine="640"/>
        <w:rPr>
          <w:rFonts w:hint="eastAsia" w:ascii="楷体_GB2312" w:hAnsi="黑体" w:eastAsia="楷体_GB2312"/>
          <w:lang w:val="en-US" w:eastAsia="zh-CN"/>
        </w:rPr>
      </w:pPr>
      <w:r>
        <w:rPr>
          <w:rFonts w:hint="eastAsia" w:ascii="楷体_GB2312" w:hAnsi="黑体" w:eastAsia="楷体_GB2312"/>
          <w:lang w:val="en-US" w:eastAsia="zh-CN"/>
        </w:rPr>
        <w:t>（一）评价的范围和目的</w:t>
      </w:r>
    </w:p>
    <w:p>
      <w:pPr>
        <w:pStyle w:val="20"/>
        <w:widowControl w:val="0"/>
        <w:overflowPunct w:val="0"/>
        <w:spacing w:line="580" w:lineRule="exact"/>
        <w:ind w:firstLine="640"/>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财政支出绩效评价是财政建设管理体制的措施，为实现其职能所确定的绩效目标综合性评价，通过评价，强化支出责任，提高财政资金使用效益。</w:t>
      </w:r>
      <w:bookmarkStart w:id="0" w:name="_GoBack"/>
      <w:bookmarkEnd w:id="0"/>
    </w:p>
    <w:p>
      <w:pPr>
        <w:pStyle w:val="20"/>
        <w:widowControl w:val="0"/>
        <w:overflowPunct w:val="0"/>
        <w:spacing w:line="580" w:lineRule="exact"/>
        <w:ind w:firstLine="640"/>
        <w:rPr>
          <w:rFonts w:hint="eastAsia" w:ascii="楷体_GB2312" w:hAnsi="黑体" w:eastAsia="楷体_GB2312"/>
          <w:lang w:val="en-US" w:eastAsia="zh-CN"/>
        </w:rPr>
      </w:pPr>
      <w:r>
        <w:rPr>
          <w:rFonts w:hint="eastAsia" w:ascii="楷体_GB2312" w:hAnsi="黑体" w:eastAsia="楷体_GB2312"/>
          <w:lang w:val="en-US" w:eastAsia="zh-CN"/>
        </w:rPr>
        <w:t>（二）评价依据</w:t>
      </w:r>
    </w:p>
    <w:p>
      <w:pPr>
        <w:pStyle w:val="20"/>
        <w:widowControl w:val="0"/>
        <w:overflowPunct w:val="0"/>
        <w:spacing w:line="580" w:lineRule="exact"/>
        <w:ind w:firstLine="640"/>
        <w:rPr>
          <w:rFonts w:hint="eastAsia" w:ascii="楷体_GB2312" w:hAnsi="黑体" w:eastAsia="楷体_GB2312"/>
          <w:sz w:val="28"/>
          <w:szCs w:val="28"/>
          <w:lang w:val="en-US" w:eastAsia="zh-CN"/>
        </w:rPr>
      </w:pPr>
      <w:r>
        <w:rPr>
          <w:rFonts w:hint="eastAsia" w:ascii="楷体_GB2312" w:hAnsi="黑体" w:eastAsia="楷体_GB2312"/>
          <w:sz w:val="28"/>
          <w:szCs w:val="28"/>
          <w:lang w:val="en-US" w:eastAsia="zh-CN"/>
        </w:rPr>
        <w:t>财政部《预算绩效管理共性指标体系框架》(财预</w:t>
      </w:r>
      <w:r>
        <w:rPr>
          <w:rFonts w:hint="eastAsia" w:ascii="仿宋" w:hAnsi="仿宋" w:eastAsia="仿宋" w:cs="仿宋"/>
          <w:kern w:val="0"/>
          <w:sz w:val="28"/>
          <w:szCs w:val="28"/>
          <w:lang w:val="en-US" w:eastAsia="zh-CN" w:bidi="ar-SA"/>
        </w:rPr>
        <w:t>[2013]53号</w:t>
      </w:r>
      <w:r>
        <w:rPr>
          <w:rFonts w:hint="eastAsia" w:ascii="楷体_GB2312" w:hAnsi="黑体" w:eastAsia="楷体_GB2312"/>
          <w:sz w:val="28"/>
          <w:szCs w:val="28"/>
          <w:lang w:val="en-US" w:eastAsia="zh-CN"/>
        </w:rPr>
        <w:t>)</w:t>
      </w:r>
    </w:p>
    <w:p>
      <w:pPr>
        <w:pStyle w:val="20"/>
        <w:widowControl w:val="0"/>
        <w:numPr>
          <w:ilvl w:val="0"/>
          <w:numId w:val="1"/>
        </w:numPr>
        <w:overflowPunct w:val="0"/>
        <w:spacing w:line="580" w:lineRule="exact"/>
        <w:ind w:left="0" w:leftChars="0" w:firstLine="640" w:firstLineChars="0"/>
        <w:rPr>
          <w:rFonts w:hint="eastAsia" w:ascii="楷体_GB2312" w:hAnsi="黑体" w:eastAsia="楷体_GB2312"/>
          <w:lang w:val="en-US" w:eastAsia="zh-CN"/>
        </w:rPr>
      </w:pPr>
      <w:r>
        <w:rPr>
          <w:rFonts w:hint="eastAsia" w:ascii="楷体_GB2312" w:hAnsi="黑体" w:eastAsia="楷体_GB2312"/>
          <w:lang w:val="en-US" w:eastAsia="zh-CN"/>
        </w:rPr>
        <w:t>评价指标体系</w:t>
      </w:r>
    </w:p>
    <w:p>
      <w:pPr>
        <w:pStyle w:val="20"/>
        <w:widowControl w:val="0"/>
        <w:numPr>
          <w:ilvl w:val="0"/>
          <w:numId w:val="0"/>
        </w:numPr>
        <w:overflowPunct w:val="0"/>
        <w:spacing w:line="580" w:lineRule="exact"/>
        <w:ind w:firstLine="560" w:firstLineChars="200"/>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投入指标、过程指标、产出数量和质量、社会效益与可持续影响指标等。</w:t>
      </w:r>
    </w:p>
    <w:p>
      <w:pPr>
        <w:pStyle w:val="20"/>
        <w:widowControl w:val="0"/>
        <w:numPr>
          <w:ilvl w:val="0"/>
          <w:numId w:val="1"/>
        </w:numPr>
        <w:overflowPunct w:val="0"/>
        <w:spacing w:line="580" w:lineRule="exact"/>
        <w:ind w:left="0" w:leftChars="0" w:firstLine="640" w:firstLineChars="0"/>
        <w:rPr>
          <w:rFonts w:hint="eastAsia" w:ascii="楷体_GB2312" w:hAnsi="黑体" w:eastAsia="楷体_GB2312"/>
          <w:lang w:val="en-US" w:eastAsia="zh-CN"/>
        </w:rPr>
      </w:pPr>
      <w:r>
        <w:rPr>
          <w:rFonts w:hint="eastAsia" w:ascii="楷体_GB2312" w:hAnsi="黑体" w:eastAsia="楷体_GB2312"/>
          <w:lang w:val="en-US" w:eastAsia="zh-CN"/>
        </w:rPr>
        <w:t>评价方法</w:t>
      </w:r>
    </w:p>
    <w:p>
      <w:pPr>
        <w:pStyle w:val="20"/>
        <w:widowControl w:val="0"/>
        <w:numPr>
          <w:ilvl w:val="0"/>
          <w:numId w:val="0"/>
        </w:numPr>
        <w:overflowPunct w:val="0"/>
        <w:spacing w:line="580" w:lineRule="exact"/>
        <w:ind w:firstLine="560" w:firstLineChars="200"/>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本项目绩效评价主要采取数据对比，标准和产品对照，同时辅以访谈、研讨、审计等方法。</w:t>
      </w:r>
    </w:p>
    <w:p>
      <w:pPr>
        <w:numPr>
          <w:ilvl w:val="0"/>
          <w:numId w:val="2"/>
        </w:numPr>
        <w:overflowPunct w:val="0"/>
        <w:adjustRightInd w:val="0"/>
        <w:snapToGrid w:val="0"/>
        <w:spacing w:line="580" w:lineRule="exact"/>
        <w:ind w:firstLine="640"/>
        <w:rPr>
          <w:rFonts w:hint="eastAsia" w:ascii="黑体" w:hAnsi="黑体" w:eastAsia="黑体"/>
          <w:sz w:val="32"/>
          <w:szCs w:val="32"/>
        </w:rPr>
      </w:pPr>
      <w:r>
        <w:rPr>
          <w:rFonts w:hint="eastAsia" w:ascii="黑体" w:hAnsi="黑体" w:eastAsia="黑体"/>
          <w:sz w:val="32"/>
          <w:szCs w:val="32"/>
        </w:rPr>
        <w:t>评价结论情况</w:t>
      </w:r>
    </w:p>
    <w:p>
      <w:pPr>
        <w:overflowPunct w:val="0"/>
        <w:adjustRightInd w:val="0"/>
        <w:snapToGrid w:val="0"/>
        <w:spacing w:line="580" w:lineRule="exact"/>
        <w:ind w:firstLine="640"/>
        <w:rPr>
          <w:rFonts w:ascii="楷体_GB2312" w:eastAsia="楷体_GB2312"/>
          <w:sz w:val="32"/>
          <w:szCs w:val="32"/>
        </w:rPr>
      </w:pPr>
      <w:r>
        <w:rPr>
          <w:rFonts w:hint="eastAsia" w:ascii="楷体_GB2312" w:eastAsia="楷体_GB2312"/>
          <w:sz w:val="32"/>
          <w:szCs w:val="32"/>
        </w:rPr>
        <w:t>（一）综合评价结论</w:t>
      </w:r>
    </w:p>
    <w:p>
      <w:pPr>
        <w:numPr>
          <w:ilvl w:val="0"/>
          <w:numId w:val="0"/>
        </w:numPr>
        <w:overflowPunct w:val="0"/>
        <w:adjustRightInd w:val="0"/>
        <w:snapToGrid w:val="0"/>
        <w:spacing w:line="580" w:lineRule="exact"/>
        <w:ind w:firstLine="560" w:firstLineChars="200"/>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我馆资金到位及时、财务管理制度健全、资金使用合理。项目质量可控，社会效益明显，读者满意度高。对此项目绩效进行了客观、公正的评价，绩效指标评分得分为90分，绩效等级为优。</w:t>
      </w:r>
    </w:p>
    <w:p>
      <w:pPr>
        <w:numPr>
          <w:ilvl w:val="0"/>
          <w:numId w:val="3"/>
        </w:numPr>
        <w:overflowPunct w:val="0"/>
        <w:adjustRightInd w:val="0"/>
        <w:snapToGrid w:val="0"/>
        <w:spacing w:line="580" w:lineRule="exact"/>
        <w:ind w:firstLine="640"/>
        <w:rPr>
          <w:rFonts w:hint="eastAsia" w:ascii="楷体_GB2312" w:eastAsia="楷体_GB2312"/>
          <w:sz w:val="32"/>
          <w:szCs w:val="32"/>
        </w:rPr>
      </w:pPr>
      <w:r>
        <w:rPr>
          <w:rFonts w:hint="eastAsia" w:ascii="楷体_GB2312" w:eastAsia="楷体_GB2312"/>
          <w:sz w:val="32"/>
          <w:szCs w:val="32"/>
        </w:rPr>
        <w:t>绩效分析</w:t>
      </w:r>
    </w:p>
    <w:p>
      <w:pPr>
        <w:numPr>
          <w:ilvl w:val="0"/>
          <w:numId w:val="0"/>
        </w:numPr>
        <w:overflowPunct w:val="0"/>
        <w:adjustRightInd w:val="0"/>
        <w:snapToGrid w:val="0"/>
        <w:spacing w:line="580" w:lineRule="exact"/>
        <w:ind w:firstLine="560" w:firstLineChars="200"/>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1.产出指标满分50分。其中，全年服务市民数量得分20分，新增持证读者得分10分，图书外借册次得分10分，举办读者活动次数得分10分</w:t>
      </w:r>
    </w:p>
    <w:p>
      <w:pPr>
        <w:numPr>
          <w:ilvl w:val="0"/>
          <w:numId w:val="0"/>
        </w:numPr>
        <w:overflowPunct w:val="0"/>
        <w:adjustRightInd w:val="0"/>
        <w:snapToGrid w:val="0"/>
        <w:spacing w:line="580" w:lineRule="exact"/>
        <w:ind w:firstLine="560" w:firstLineChars="200"/>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2.项目预算满分10分，得分4分。</w:t>
      </w:r>
    </w:p>
    <w:p>
      <w:pPr>
        <w:numPr>
          <w:ilvl w:val="0"/>
          <w:numId w:val="0"/>
        </w:numPr>
        <w:overflowPunct w:val="0"/>
        <w:adjustRightInd w:val="0"/>
        <w:snapToGrid w:val="0"/>
        <w:spacing w:line="580" w:lineRule="exact"/>
        <w:ind w:firstLine="560" w:firstLineChars="200"/>
        <w:rPr>
          <w:rFonts w:hint="default"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3.效益指标满分30分。其中，满足群众文化需求得分26分。</w:t>
      </w:r>
    </w:p>
    <w:p>
      <w:pPr>
        <w:numPr>
          <w:ilvl w:val="0"/>
          <w:numId w:val="0"/>
        </w:numPr>
        <w:overflowPunct w:val="0"/>
        <w:adjustRightInd w:val="0"/>
        <w:snapToGrid w:val="0"/>
        <w:spacing w:line="580" w:lineRule="exact"/>
        <w:ind w:firstLine="560" w:firstLineChars="200"/>
        <w:rPr>
          <w:rFonts w:hint="default"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4.满意度指标满分10分，其中服务对象满意度得分8分</w:t>
      </w:r>
    </w:p>
    <w:p>
      <w:pPr>
        <w:numPr>
          <w:ilvl w:val="0"/>
          <w:numId w:val="3"/>
        </w:numPr>
        <w:overflowPunct w:val="0"/>
        <w:adjustRightInd w:val="0"/>
        <w:snapToGrid w:val="0"/>
        <w:spacing w:line="580" w:lineRule="exact"/>
        <w:ind w:left="0" w:leftChars="0" w:firstLine="640" w:firstLineChars="0"/>
        <w:rPr>
          <w:rFonts w:hint="eastAsia" w:ascii="楷体_GB2312" w:eastAsia="楷体_GB2312"/>
          <w:sz w:val="32"/>
          <w:szCs w:val="32"/>
        </w:rPr>
      </w:pPr>
      <w:r>
        <w:rPr>
          <w:rFonts w:hint="eastAsia" w:ascii="楷体_GB2312" w:eastAsia="楷体_GB2312"/>
          <w:sz w:val="32"/>
          <w:szCs w:val="32"/>
        </w:rPr>
        <w:t>取得的成效</w:t>
      </w:r>
    </w:p>
    <w:p>
      <w:pPr>
        <w:numPr>
          <w:ilvl w:val="0"/>
          <w:numId w:val="0"/>
        </w:numPr>
        <w:overflowPunct w:val="0"/>
        <w:adjustRightInd w:val="0"/>
        <w:snapToGrid w:val="0"/>
        <w:spacing w:line="580" w:lineRule="exact"/>
        <w:ind w:firstLine="560" w:firstLineChars="200"/>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2019年市图书馆全年服务市民数量15万人次,新增持证读者1100名,持证读者总量达到1.5万人,图书外借7万册次,举办读者活动47次，图书资源流转效率显著提升。</w:t>
      </w:r>
    </w:p>
    <w:p>
      <w:pPr>
        <w:overflowPunct w:val="0"/>
        <w:adjustRightInd w:val="0"/>
        <w:snapToGrid w:val="0"/>
        <w:spacing w:line="580" w:lineRule="exact"/>
        <w:ind w:firstLine="640"/>
        <w:rPr>
          <w:rFonts w:hint="eastAsia" w:ascii="楷体_GB2312" w:eastAsia="楷体_GB2312"/>
          <w:sz w:val="32"/>
          <w:szCs w:val="32"/>
        </w:rPr>
      </w:pPr>
      <w:r>
        <w:rPr>
          <w:rFonts w:hint="eastAsia" w:ascii="楷体_GB2312" w:eastAsia="楷体_GB2312"/>
          <w:sz w:val="32"/>
          <w:szCs w:val="32"/>
        </w:rPr>
        <w:t>（四）存在的问题</w:t>
      </w:r>
    </w:p>
    <w:p>
      <w:pPr>
        <w:numPr>
          <w:ilvl w:val="0"/>
          <w:numId w:val="0"/>
        </w:numPr>
        <w:overflowPunct w:val="0"/>
        <w:adjustRightInd w:val="0"/>
        <w:snapToGrid w:val="0"/>
        <w:spacing w:line="580" w:lineRule="exact"/>
        <w:ind w:firstLine="560" w:firstLineChars="200"/>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1.对文化信息共享工程的宣传力度还不够，个别读者还不了解这个惠民工程。</w:t>
      </w:r>
    </w:p>
    <w:p>
      <w:pPr>
        <w:numPr>
          <w:ilvl w:val="0"/>
          <w:numId w:val="0"/>
        </w:numPr>
        <w:overflowPunct w:val="0"/>
        <w:adjustRightInd w:val="0"/>
        <w:snapToGrid w:val="0"/>
        <w:spacing w:line="580" w:lineRule="exact"/>
        <w:ind w:firstLine="560" w:firstLineChars="200"/>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2.文化信息共享工程运行至今，有关设备出现老化、毁损现象。</w:t>
      </w:r>
    </w:p>
    <w:p>
      <w:pPr>
        <w:numPr>
          <w:ilvl w:val="0"/>
          <w:numId w:val="0"/>
        </w:numPr>
        <w:overflowPunct w:val="0"/>
        <w:adjustRightInd w:val="0"/>
        <w:snapToGrid w:val="0"/>
        <w:spacing w:line="580" w:lineRule="exact"/>
        <w:ind w:firstLine="560" w:firstLineChars="200"/>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3.专业人才的不足以及部门之间的配合协调不到位，影响项目的进度。</w:t>
      </w:r>
    </w:p>
    <w:p>
      <w:pPr>
        <w:overflowPunct w:val="0"/>
        <w:adjustRightInd w:val="0"/>
        <w:snapToGrid w:val="0"/>
        <w:spacing w:line="580" w:lineRule="exact"/>
        <w:ind w:firstLine="640" w:firstLineChars="200"/>
        <w:rPr>
          <w:rFonts w:hint="eastAsia" w:ascii="黑体" w:hAnsi="黑体" w:eastAsia="黑体"/>
          <w:sz w:val="32"/>
          <w:szCs w:val="32"/>
        </w:rPr>
      </w:pPr>
      <w:r>
        <w:rPr>
          <w:rFonts w:hint="eastAsia" w:ascii="黑体" w:hAnsi="黑体" w:eastAsia="黑体"/>
          <w:sz w:val="32"/>
          <w:szCs w:val="32"/>
        </w:rPr>
        <w:t>四、意见建议</w:t>
      </w:r>
    </w:p>
    <w:p>
      <w:pPr>
        <w:numPr>
          <w:ilvl w:val="0"/>
          <w:numId w:val="0"/>
        </w:numPr>
        <w:overflowPunct w:val="0"/>
        <w:adjustRightInd w:val="0"/>
        <w:snapToGrid w:val="0"/>
        <w:spacing w:line="580" w:lineRule="exact"/>
        <w:ind w:firstLine="560" w:firstLineChars="200"/>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1．加强对财政资金拨付和使用的管理。</w:t>
      </w:r>
    </w:p>
    <w:p>
      <w:pPr>
        <w:numPr>
          <w:ilvl w:val="0"/>
          <w:numId w:val="0"/>
        </w:numPr>
        <w:overflowPunct w:val="0"/>
        <w:adjustRightInd w:val="0"/>
        <w:snapToGrid w:val="0"/>
        <w:spacing w:line="580" w:lineRule="exact"/>
        <w:ind w:firstLine="560" w:firstLineChars="200"/>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2．加强绩效评价管理制度和流程的建设，进一步深化、完善绩效管理体系，建立全过程的预算绩效管理机制，促进绩效管理工作向广度和深度延伸。</w:t>
      </w:r>
    </w:p>
    <w:p>
      <w:pPr>
        <w:numPr>
          <w:ilvl w:val="0"/>
          <w:numId w:val="0"/>
        </w:numPr>
        <w:overflowPunct w:val="0"/>
        <w:adjustRightInd w:val="0"/>
        <w:snapToGrid w:val="0"/>
        <w:spacing w:line="580" w:lineRule="exact"/>
        <w:ind w:firstLine="560" w:firstLineChars="200"/>
        <w:rPr>
          <w:rFonts w:hint="eastAsia" w:ascii="仿宋_GB2312" w:eastAsia="仿宋_GB2312"/>
          <w:sz w:val="32"/>
          <w:szCs w:val="32"/>
        </w:rPr>
      </w:pPr>
      <w:r>
        <w:rPr>
          <w:rFonts w:hint="eastAsia" w:ascii="仿宋" w:hAnsi="仿宋" w:eastAsia="仿宋" w:cs="仿宋"/>
          <w:kern w:val="0"/>
          <w:sz w:val="28"/>
          <w:szCs w:val="28"/>
          <w:lang w:val="en-US" w:eastAsia="zh-CN" w:bidi="ar-SA"/>
        </w:rPr>
        <w:t>3．进一步加强会计核算，强化预算管理意识，严格执行预算，做到专帐核算，确保专款专用。</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文星简大标宋">
    <w:altName w:val="微软雅黑"/>
    <w:panose1 w:val="00000000000000000000"/>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10"/>
      </w:rP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10"/>
      </w:rPr>
    </w:pP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10"/>
      </w:rPr>
    </w:pPr>
    <w:r>
      <w:rPr>
        <w:sz w:val="18"/>
      </w:rPr>
      <w:pict>
        <v:shape id="_x0000_s2057" o:spid="_x0000_s205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10"/>
      </w:rPr>
    </w:pPr>
    <w:r>
      <w:rPr>
        <w:sz w:val="18"/>
      </w:rPr>
      <w:pict>
        <v:shape id="_x0000_s2058" o:spid="_x0000_s205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24992"/>
    <w:multiLevelType w:val="singleLevel"/>
    <w:tmpl w:val="20F24992"/>
    <w:lvl w:ilvl="0" w:tentative="0">
      <w:start w:val="2"/>
      <w:numFmt w:val="chineseCounting"/>
      <w:suff w:val="nothing"/>
      <w:lvlText w:val="（%1）"/>
      <w:lvlJc w:val="left"/>
      <w:rPr>
        <w:rFonts w:hint="eastAsia"/>
      </w:rPr>
    </w:lvl>
  </w:abstractNum>
  <w:abstractNum w:abstractNumId="1">
    <w:nsid w:val="3CECE8C2"/>
    <w:multiLevelType w:val="singleLevel"/>
    <w:tmpl w:val="3CECE8C2"/>
    <w:lvl w:ilvl="0" w:tentative="0">
      <w:start w:val="3"/>
      <w:numFmt w:val="chineseCounting"/>
      <w:suff w:val="nothing"/>
      <w:lvlText w:val="%1、"/>
      <w:lvlJc w:val="left"/>
      <w:rPr>
        <w:rFonts w:hint="eastAsia"/>
      </w:rPr>
    </w:lvl>
  </w:abstractNum>
  <w:abstractNum w:abstractNumId="2">
    <w:nsid w:val="71FBDB99"/>
    <w:multiLevelType w:val="singleLevel"/>
    <w:tmpl w:val="71FBDB99"/>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34440"/>
    <w:rsid w:val="00003E5B"/>
    <w:rsid w:val="00006FF7"/>
    <w:rsid w:val="00027A87"/>
    <w:rsid w:val="000328FA"/>
    <w:rsid w:val="000345DF"/>
    <w:rsid w:val="00046FD8"/>
    <w:rsid w:val="00074B56"/>
    <w:rsid w:val="000A4A01"/>
    <w:rsid w:val="000C668A"/>
    <w:rsid w:val="000F3B1D"/>
    <w:rsid w:val="001124E9"/>
    <w:rsid w:val="00124F11"/>
    <w:rsid w:val="00124FD4"/>
    <w:rsid w:val="001461DD"/>
    <w:rsid w:val="00147D1A"/>
    <w:rsid w:val="00150B20"/>
    <w:rsid w:val="00155D71"/>
    <w:rsid w:val="00173140"/>
    <w:rsid w:val="00187893"/>
    <w:rsid w:val="001A33D7"/>
    <w:rsid w:val="001B797C"/>
    <w:rsid w:val="001C512A"/>
    <w:rsid w:val="001C7AAD"/>
    <w:rsid w:val="001E156C"/>
    <w:rsid w:val="00203023"/>
    <w:rsid w:val="00211108"/>
    <w:rsid w:val="00216A3B"/>
    <w:rsid w:val="002332CA"/>
    <w:rsid w:val="002341AC"/>
    <w:rsid w:val="00246365"/>
    <w:rsid w:val="00250D29"/>
    <w:rsid w:val="00252592"/>
    <w:rsid w:val="00287E57"/>
    <w:rsid w:val="00291093"/>
    <w:rsid w:val="002C14BE"/>
    <w:rsid w:val="002C37F7"/>
    <w:rsid w:val="002E1DFD"/>
    <w:rsid w:val="002E3EF1"/>
    <w:rsid w:val="003113C7"/>
    <w:rsid w:val="0031641E"/>
    <w:rsid w:val="00336092"/>
    <w:rsid w:val="0035121D"/>
    <w:rsid w:val="0039152C"/>
    <w:rsid w:val="0039416A"/>
    <w:rsid w:val="003A6F38"/>
    <w:rsid w:val="003C149E"/>
    <w:rsid w:val="003F683C"/>
    <w:rsid w:val="00417AB3"/>
    <w:rsid w:val="004251AA"/>
    <w:rsid w:val="00445F23"/>
    <w:rsid w:val="00450E1C"/>
    <w:rsid w:val="00457392"/>
    <w:rsid w:val="004746CA"/>
    <w:rsid w:val="00484012"/>
    <w:rsid w:val="004B21DB"/>
    <w:rsid w:val="004D7F4B"/>
    <w:rsid w:val="004E19EA"/>
    <w:rsid w:val="004F6AC3"/>
    <w:rsid w:val="00504CEA"/>
    <w:rsid w:val="00533CEC"/>
    <w:rsid w:val="00543695"/>
    <w:rsid w:val="00560997"/>
    <w:rsid w:val="00572044"/>
    <w:rsid w:val="00577A60"/>
    <w:rsid w:val="005C5EBA"/>
    <w:rsid w:val="0065353C"/>
    <w:rsid w:val="006745FA"/>
    <w:rsid w:val="006A4CEC"/>
    <w:rsid w:val="006B0A06"/>
    <w:rsid w:val="006B6B2F"/>
    <w:rsid w:val="006C3684"/>
    <w:rsid w:val="006C79F1"/>
    <w:rsid w:val="006D68CE"/>
    <w:rsid w:val="0070713A"/>
    <w:rsid w:val="00727759"/>
    <w:rsid w:val="00762471"/>
    <w:rsid w:val="00762BCE"/>
    <w:rsid w:val="00765553"/>
    <w:rsid w:val="00772737"/>
    <w:rsid w:val="00772BA7"/>
    <w:rsid w:val="00790286"/>
    <w:rsid w:val="00796669"/>
    <w:rsid w:val="007B2D34"/>
    <w:rsid w:val="007B7872"/>
    <w:rsid w:val="008023CF"/>
    <w:rsid w:val="0081323F"/>
    <w:rsid w:val="00823CDE"/>
    <w:rsid w:val="008241CB"/>
    <w:rsid w:val="00824880"/>
    <w:rsid w:val="0082653B"/>
    <w:rsid w:val="00834440"/>
    <w:rsid w:val="0084275E"/>
    <w:rsid w:val="00857E55"/>
    <w:rsid w:val="008857D8"/>
    <w:rsid w:val="008C2CB9"/>
    <w:rsid w:val="00914BD8"/>
    <w:rsid w:val="00941B09"/>
    <w:rsid w:val="00967BEA"/>
    <w:rsid w:val="00986BB5"/>
    <w:rsid w:val="009B0DA3"/>
    <w:rsid w:val="009C5B96"/>
    <w:rsid w:val="009D4DDA"/>
    <w:rsid w:val="009E3107"/>
    <w:rsid w:val="009E4B06"/>
    <w:rsid w:val="00A401E6"/>
    <w:rsid w:val="00A86066"/>
    <w:rsid w:val="00A9359D"/>
    <w:rsid w:val="00AC3D9B"/>
    <w:rsid w:val="00AC7F84"/>
    <w:rsid w:val="00AD430D"/>
    <w:rsid w:val="00AF66C3"/>
    <w:rsid w:val="00B20EE8"/>
    <w:rsid w:val="00B23C3D"/>
    <w:rsid w:val="00B24E0E"/>
    <w:rsid w:val="00B60B53"/>
    <w:rsid w:val="00B641F1"/>
    <w:rsid w:val="00B64536"/>
    <w:rsid w:val="00B740D0"/>
    <w:rsid w:val="00B83A79"/>
    <w:rsid w:val="00B9411C"/>
    <w:rsid w:val="00BA6768"/>
    <w:rsid w:val="00BB007F"/>
    <w:rsid w:val="00BB0FCA"/>
    <w:rsid w:val="00BE75BF"/>
    <w:rsid w:val="00BF0F72"/>
    <w:rsid w:val="00BF0FAD"/>
    <w:rsid w:val="00C02AEE"/>
    <w:rsid w:val="00C57FB8"/>
    <w:rsid w:val="00C7067D"/>
    <w:rsid w:val="00C7441E"/>
    <w:rsid w:val="00CB679D"/>
    <w:rsid w:val="00CC162C"/>
    <w:rsid w:val="00CC36CA"/>
    <w:rsid w:val="00CC43BE"/>
    <w:rsid w:val="00CC5922"/>
    <w:rsid w:val="00CD380D"/>
    <w:rsid w:val="00CE3890"/>
    <w:rsid w:val="00CF1C91"/>
    <w:rsid w:val="00D17472"/>
    <w:rsid w:val="00D1769C"/>
    <w:rsid w:val="00D516F3"/>
    <w:rsid w:val="00D5431B"/>
    <w:rsid w:val="00D61F63"/>
    <w:rsid w:val="00D86C5A"/>
    <w:rsid w:val="00D94351"/>
    <w:rsid w:val="00DA2B56"/>
    <w:rsid w:val="00DA6582"/>
    <w:rsid w:val="00DC4A12"/>
    <w:rsid w:val="00DC4F2C"/>
    <w:rsid w:val="00DC6101"/>
    <w:rsid w:val="00DC7E1B"/>
    <w:rsid w:val="00DF624E"/>
    <w:rsid w:val="00E0706F"/>
    <w:rsid w:val="00E4100E"/>
    <w:rsid w:val="00E43CAE"/>
    <w:rsid w:val="00E702ED"/>
    <w:rsid w:val="00E76695"/>
    <w:rsid w:val="00F4023D"/>
    <w:rsid w:val="00F4319D"/>
    <w:rsid w:val="00F50DA7"/>
    <w:rsid w:val="00F70F13"/>
    <w:rsid w:val="00F818F5"/>
    <w:rsid w:val="00F94037"/>
    <w:rsid w:val="00F94085"/>
    <w:rsid w:val="00FB18F7"/>
    <w:rsid w:val="00FD2501"/>
    <w:rsid w:val="00FE1E6C"/>
    <w:rsid w:val="00FE629B"/>
    <w:rsid w:val="00FE7C77"/>
    <w:rsid w:val="00FF3CB6"/>
    <w:rsid w:val="01596C82"/>
    <w:rsid w:val="016E1541"/>
    <w:rsid w:val="01967389"/>
    <w:rsid w:val="01A43B4D"/>
    <w:rsid w:val="01B8535D"/>
    <w:rsid w:val="01D54BE7"/>
    <w:rsid w:val="01FC0F3F"/>
    <w:rsid w:val="02852F87"/>
    <w:rsid w:val="029365E2"/>
    <w:rsid w:val="030D793F"/>
    <w:rsid w:val="034D6CAE"/>
    <w:rsid w:val="035505C1"/>
    <w:rsid w:val="0381287C"/>
    <w:rsid w:val="0381727B"/>
    <w:rsid w:val="038C2E08"/>
    <w:rsid w:val="038E7E70"/>
    <w:rsid w:val="039429AD"/>
    <w:rsid w:val="03945B9B"/>
    <w:rsid w:val="040F6845"/>
    <w:rsid w:val="04725EFB"/>
    <w:rsid w:val="04C16526"/>
    <w:rsid w:val="04D3632F"/>
    <w:rsid w:val="04E836F4"/>
    <w:rsid w:val="0526195E"/>
    <w:rsid w:val="055A73CD"/>
    <w:rsid w:val="05D3500A"/>
    <w:rsid w:val="0646041A"/>
    <w:rsid w:val="064E38BA"/>
    <w:rsid w:val="06570EF5"/>
    <w:rsid w:val="067F3DAB"/>
    <w:rsid w:val="068D1BF8"/>
    <w:rsid w:val="069019AC"/>
    <w:rsid w:val="069D213B"/>
    <w:rsid w:val="06B3022A"/>
    <w:rsid w:val="06D62459"/>
    <w:rsid w:val="06F929D2"/>
    <w:rsid w:val="070A7016"/>
    <w:rsid w:val="07160213"/>
    <w:rsid w:val="07A55D86"/>
    <w:rsid w:val="07EE31BB"/>
    <w:rsid w:val="07FE793D"/>
    <w:rsid w:val="081C168C"/>
    <w:rsid w:val="08533398"/>
    <w:rsid w:val="08BB2BE0"/>
    <w:rsid w:val="08C62C14"/>
    <w:rsid w:val="09003EB8"/>
    <w:rsid w:val="090C30FA"/>
    <w:rsid w:val="09172ED6"/>
    <w:rsid w:val="091C7472"/>
    <w:rsid w:val="098F7EF7"/>
    <w:rsid w:val="09A266DF"/>
    <w:rsid w:val="09C67BE8"/>
    <w:rsid w:val="0A0440B9"/>
    <w:rsid w:val="0A4C12D7"/>
    <w:rsid w:val="0A686D9D"/>
    <w:rsid w:val="0A9A4128"/>
    <w:rsid w:val="0AAC608D"/>
    <w:rsid w:val="0AFB67F0"/>
    <w:rsid w:val="0B3E5A10"/>
    <w:rsid w:val="0B674907"/>
    <w:rsid w:val="0B6E1083"/>
    <w:rsid w:val="0B9A79A4"/>
    <w:rsid w:val="0BDC6314"/>
    <w:rsid w:val="0C2135B9"/>
    <w:rsid w:val="0C644AFB"/>
    <w:rsid w:val="0D3A2B55"/>
    <w:rsid w:val="0D5F7A2C"/>
    <w:rsid w:val="0D9C075C"/>
    <w:rsid w:val="0DEB23FE"/>
    <w:rsid w:val="0E347BB2"/>
    <w:rsid w:val="0E4139CC"/>
    <w:rsid w:val="0E9338A9"/>
    <w:rsid w:val="0EB25F76"/>
    <w:rsid w:val="0EF74F65"/>
    <w:rsid w:val="0F3E188E"/>
    <w:rsid w:val="0F596974"/>
    <w:rsid w:val="0F6B4154"/>
    <w:rsid w:val="0FAE16F3"/>
    <w:rsid w:val="0FD344BA"/>
    <w:rsid w:val="0FF8594A"/>
    <w:rsid w:val="10014B33"/>
    <w:rsid w:val="10267FEF"/>
    <w:rsid w:val="105568AC"/>
    <w:rsid w:val="105A4F6C"/>
    <w:rsid w:val="109F7EC3"/>
    <w:rsid w:val="10AA1DE4"/>
    <w:rsid w:val="10CB6DCC"/>
    <w:rsid w:val="11076BCA"/>
    <w:rsid w:val="112206F8"/>
    <w:rsid w:val="112D105E"/>
    <w:rsid w:val="113A4E48"/>
    <w:rsid w:val="114256D7"/>
    <w:rsid w:val="11680504"/>
    <w:rsid w:val="117B20C6"/>
    <w:rsid w:val="11936E8E"/>
    <w:rsid w:val="119B0D24"/>
    <w:rsid w:val="11AE2B3B"/>
    <w:rsid w:val="126B73F1"/>
    <w:rsid w:val="129F5E6C"/>
    <w:rsid w:val="12D55482"/>
    <w:rsid w:val="12E62E9A"/>
    <w:rsid w:val="12EC45B9"/>
    <w:rsid w:val="13525571"/>
    <w:rsid w:val="135A7696"/>
    <w:rsid w:val="137135A2"/>
    <w:rsid w:val="14530A92"/>
    <w:rsid w:val="14A14826"/>
    <w:rsid w:val="14A96BDE"/>
    <w:rsid w:val="14B2714D"/>
    <w:rsid w:val="15005F58"/>
    <w:rsid w:val="15057A9D"/>
    <w:rsid w:val="155A3D01"/>
    <w:rsid w:val="157042D2"/>
    <w:rsid w:val="15882428"/>
    <w:rsid w:val="15947352"/>
    <w:rsid w:val="15AD7B32"/>
    <w:rsid w:val="15E022C4"/>
    <w:rsid w:val="15E50CB6"/>
    <w:rsid w:val="1690030D"/>
    <w:rsid w:val="16982189"/>
    <w:rsid w:val="16C305B2"/>
    <w:rsid w:val="16C70B07"/>
    <w:rsid w:val="16E06C1A"/>
    <w:rsid w:val="16F43E79"/>
    <w:rsid w:val="171D7FBE"/>
    <w:rsid w:val="1726477B"/>
    <w:rsid w:val="17392E24"/>
    <w:rsid w:val="17470F59"/>
    <w:rsid w:val="179C3EA3"/>
    <w:rsid w:val="17B13363"/>
    <w:rsid w:val="17B44E16"/>
    <w:rsid w:val="17CB13A1"/>
    <w:rsid w:val="18035D60"/>
    <w:rsid w:val="182F7ADF"/>
    <w:rsid w:val="186F67D4"/>
    <w:rsid w:val="187F2B36"/>
    <w:rsid w:val="191950DB"/>
    <w:rsid w:val="193251F2"/>
    <w:rsid w:val="194064A8"/>
    <w:rsid w:val="199B4FBE"/>
    <w:rsid w:val="1A161290"/>
    <w:rsid w:val="1A3E208D"/>
    <w:rsid w:val="1A7D6EB6"/>
    <w:rsid w:val="1AA97C14"/>
    <w:rsid w:val="1AC47305"/>
    <w:rsid w:val="1B961C93"/>
    <w:rsid w:val="1BCD0B5C"/>
    <w:rsid w:val="1BD47656"/>
    <w:rsid w:val="1C05000B"/>
    <w:rsid w:val="1C27485E"/>
    <w:rsid w:val="1C310AED"/>
    <w:rsid w:val="1C420660"/>
    <w:rsid w:val="1CC25E25"/>
    <w:rsid w:val="1D202410"/>
    <w:rsid w:val="1D4408A1"/>
    <w:rsid w:val="1D8558BB"/>
    <w:rsid w:val="1DAC2499"/>
    <w:rsid w:val="1E042190"/>
    <w:rsid w:val="1E494182"/>
    <w:rsid w:val="1E514A45"/>
    <w:rsid w:val="1E594E20"/>
    <w:rsid w:val="1E5C14EA"/>
    <w:rsid w:val="1E5C1F65"/>
    <w:rsid w:val="1E6371F1"/>
    <w:rsid w:val="1E746D82"/>
    <w:rsid w:val="1EA21090"/>
    <w:rsid w:val="1EC323ED"/>
    <w:rsid w:val="1EFE097D"/>
    <w:rsid w:val="1F2914D1"/>
    <w:rsid w:val="1F623464"/>
    <w:rsid w:val="1F7568D7"/>
    <w:rsid w:val="2003281D"/>
    <w:rsid w:val="20075E32"/>
    <w:rsid w:val="20093036"/>
    <w:rsid w:val="204619DB"/>
    <w:rsid w:val="207C3FD5"/>
    <w:rsid w:val="20B9539C"/>
    <w:rsid w:val="20D23BFB"/>
    <w:rsid w:val="20E64C5E"/>
    <w:rsid w:val="20F46859"/>
    <w:rsid w:val="2129324B"/>
    <w:rsid w:val="21610600"/>
    <w:rsid w:val="21C061D5"/>
    <w:rsid w:val="21E70595"/>
    <w:rsid w:val="223946D8"/>
    <w:rsid w:val="226D36E1"/>
    <w:rsid w:val="23130C8A"/>
    <w:rsid w:val="234417A3"/>
    <w:rsid w:val="235D7B8D"/>
    <w:rsid w:val="23927644"/>
    <w:rsid w:val="23AA3AFB"/>
    <w:rsid w:val="23D50B78"/>
    <w:rsid w:val="241F6640"/>
    <w:rsid w:val="248C3A26"/>
    <w:rsid w:val="24D4644E"/>
    <w:rsid w:val="24F26231"/>
    <w:rsid w:val="25010188"/>
    <w:rsid w:val="255D6816"/>
    <w:rsid w:val="2590625D"/>
    <w:rsid w:val="25E831B8"/>
    <w:rsid w:val="26387111"/>
    <w:rsid w:val="266965CF"/>
    <w:rsid w:val="267E26CA"/>
    <w:rsid w:val="26B41B10"/>
    <w:rsid w:val="26DC0A99"/>
    <w:rsid w:val="26F70C35"/>
    <w:rsid w:val="26F8730B"/>
    <w:rsid w:val="272C18F5"/>
    <w:rsid w:val="27525083"/>
    <w:rsid w:val="27C30D2A"/>
    <w:rsid w:val="280D0811"/>
    <w:rsid w:val="283A4C3E"/>
    <w:rsid w:val="28C97566"/>
    <w:rsid w:val="28DC4B2D"/>
    <w:rsid w:val="28E150F2"/>
    <w:rsid w:val="28F24F80"/>
    <w:rsid w:val="28F626BE"/>
    <w:rsid w:val="297B0920"/>
    <w:rsid w:val="298E7328"/>
    <w:rsid w:val="29C4469F"/>
    <w:rsid w:val="29E941F7"/>
    <w:rsid w:val="2A1C4BE6"/>
    <w:rsid w:val="2A266172"/>
    <w:rsid w:val="2A2C33ED"/>
    <w:rsid w:val="2A4302BD"/>
    <w:rsid w:val="2AA71F8B"/>
    <w:rsid w:val="2AEB315C"/>
    <w:rsid w:val="2B5D4E36"/>
    <w:rsid w:val="2B8760AD"/>
    <w:rsid w:val="2B8950C2"/>
    <w:rsid w:val="2BA40CE8"/>
    <w:rsid w:val="2C0B0228"/>
    <w:rsid w:val="2C270B50"/>
    <w:rsid w:val="2C6D480D"/>
    <w:rsid w:val="2C7C2F59"/>
    <w:rsid w:val="2C893FB2"/>
    <w:rsid w:val="2D48232E"/>
    <w:rsid w:val="2D516338"/>
    <w:rsid w:val="2D940D5C"/>
    <w:rsid w:val="2DAB55FD"/>
    <w:rsid w:val="2DB97E70"/>
    <w:rsid w:val="2DC42865"/>
    <w:rsid w:val="2DC70E5F"/>
    <w:rsid w:val="2DEC46C1"/>
    <w:rsid w:val="2E590033"/>
    <w:rsid w:val="2E6D47BC"/>
    <w:rsid w:val="2EDD2A95"/>
    <w:rsid w:val="2EFD343E"/>
    <w:rsid w:val="2F0B0FC2"/>
    <w:rsid w:val="2F2D0EA7"/>
    <w:rsid w:val="2F441EA3"/>
    <w:rsid w:val="2F886066"/>
    <w:rsid w:val="2F887778"/>
    <w:rsid w:val="2FA17B10"/>
    <w:rsid w:val="2FAA27EA"/>
    <w:rsid w:val="2FDB3E1D"/>
    <w:rsid w:val="300E21B8"/>
    <w:rsid w:val="3014502E"/>
    <w:rsid w:val="301A7FAA"/>
    <w:rsid w:val="302D4D69"/>
    <w:rsid w:val="302E7AC5"/>
    <w:rsid w:val="30300153"/>
    <w:rsid w:val="30913048"/>
    <w:rsid w:val="311B0C6A"/>
    <w:rsid w:val="312168B1"/>
    <w:rsid w:val="31AC14AE"/>
    <w:rsid w:val="31C01D59"/>
    <w:rsid w:val="31F32262"/>
    <w:rsid w:val="32045546"/>
    <w:rsid w:val="329B191D"/>
    <w:rsid w:val="32B20D4E"/>
    <w:rsid w:val="32D1334B"/>
    <w:rsid w:val="32E82CFF"/>
    <w:rsid w:val="332850F2"/>
    <w:rsid w:val="33D63E06"/>
    <w:rsid w:val="342C0C4F"/>
    <w:rsid w:val="345D1FB6"/>
    <w:rsid w:val="34724CDF"/>
    <w:rsid w:val="34731943"/>
    <w:rsid w:val="3493417A"/>
    <w:rsid w:val="350F5098"/>
    <w:rsid w:val="356A1E7D"/>
    <w:rsid w:val="356A2671"/>
    <w:rsid w:val="356D25C1"/>
    <w:rsid w:val="359C28C1"/>
    <w:rsid w:val="35B005FC"/>
    <w:rsid w:val="35B20DD7"/>
    <w:rsid w:val="35C04A4E"/>
    <w:rsid w:val="35F21E66"/>
    <w:rsid w:val="360774B2"/>
    <w:rsid w:val="36376A92"/>
    <w:rsid w:val="363E4793"/>
    <w:rsid w:val="36FC55B4"/>
    <w:rsid w:val="37125DB7"/>
    <w:rsid w:val="373074B7"/>
    <w:rsid w:val="374E732F"/>
    <w:rsid w:val="378344B1"/>
    <w:rsid w:val="380D0D25"/>
    <w:rsid w:val="384319FC"/>
    <w:rsid w:val="384637A6"/>
    <w:rsid w:val="385719A6"/>
    <w:rsid w:val="38DE4916"/>
    <w:rsid w:val="38EA08FB"/>
    <w:rsid w:val="391248C8"/>
    <w:rsid w:val="39167D5B"/>
    <w:rsid w:val="393D3E9B"/>
    <w:rsid w:val="394B5004"/>
    <w:rsid w:val="39BB2153"/>
    <w:rsid w:val="39C82895"/>
    <w:rsid w:val="3A1346C0"/>
    <w:rsid w:val="3A3645C0"/>
    <w:rsid w:val="3A761535"/>
    <w:rsid w:val="3A7A4E14"/>
    <w:rsid w:val="3A811A05"/>
    <w:rsid w:val="3ACE302C"/>
    <w:rsid w:val="3B0922AE"/>
    <w:rsid w:val="3B482087"/>
    <w:rsid w:val="3B7E39C5"/>
    <w:rsid w:val="3BED5021"/>
    <w:rsid w:val="3BF0381A"/>
    <w:rsid w:val="3BFA596A"/>
    <w:rsid w:val="3C2027A2"/>
    <w:rsid w:val="3C254023"/>
    <w:rsid w:val="3C2D4369"/>
    <w:rsid w:val="3C611B99"/>
    <w:rsid w:val="3C6B10C9"/>
    <w:rsid w:val="3CDD2A08"/>
    <w:rsid w:val="3D012D95"/>
    <w:rsid w:val="3DA557B2"/>
    <w:rsid w:val="3DF170F3"/>
    <w:rsid w:val="3E0A0C5F"/>
    <w:rsid w:val="3E621256"/>
    <w:rsid w:val="3EC2352C"/>
    <w:rsid w:val="3F2E0C6D"/>
    <w:rsid w:val="3F8B3C67"/>
    <w:rsid w:val="3FB8237F"/>
    <w:rsid w:val="3FBA5CED"/>
    <w:rsid w:val="3FFE111F"/>
    <w:rsid w:val="40132A36"/>
    <w:rsid w:val="40D0580B"/>
    <w:rsid w:val="40F41ABA"/>
    <w:rsid w:val="410146C4"/>
    <w:rsid w:val="41092F2D"/>
    <w:rsid w:val="41172721"/>
    <w:rsid w:val="414F1864"/>
    <w:rsid w:val="41515031"/>
    <w:rsid w:val="415D3CEB"/>
    <w:rsid w:val="415E4123"/>
    <w:rsid w:val="41643F2C"/>
    <w:rsid w:val="41BD1AE8"/>
    <w:rsid w:val="41FA3803"/>
    <w:rsid w:val="422E7919"/>
    <w:rsid w:val="42310E1E"/>
    <w:rsid w:val="427329AD"/>
    <w:rsid w:val="42A5116C"/>
    <w:rsid w:val="42FE560C"/>
    <w:rsid w:val="43084DC1"/>
    <w:rsid w:val="4310291C"/>
    <w:rsid w:val="43306A43"/>
    <w:rsid w:val="435F121C"/>
    <w:rsid w:val="4365168F"/>
    <w:rsid w:val="43A7308C"/>
    <w:rsid w:val="43A84ED2"/>
    <w:rsid w:val="44646B90"/>
    <w:rsid w:val="446D451C"/>
    <w:rsid w:val="447F056F"/>
    <w:rsid w:val="44EF116D"/>
    <w:rsid w:val="456C5A96"/>
    <w:rsid w:val="457C06D2"/>
    <w:rsid w:val="457D6845"/>
    <w:rsid w:val="45AC1E47"/>
    <w:rsid w:val="45D827BF"/>
    <w:rsid w:val="45E269D8"/>
    <w:rsid w:val="460601A2"/>
    <w:rsid w:val="46B254AA"/>
    <w:rsid w:val="46B71562"/>
    <w:rsid w:val="46FA03CA"/>
    <w:rsid w:val="471F699C"/>
    <w:rsid w:val="472244DA"/>
    <w:rsid w:val="477E24DD"/>
    <w:rsid w:val="47A7317C"/>
    <w:rsid w:val="47E91111"/>
    <w:rsid w:val="480C2CB4"/>
    <w:rsid w:val="48210972"/>
    <w:rsid w:val="48312B21"/>
    <w:rsid w:val="48396FD2"/>
    <w:rsid w:val="48592EBD"/>
    <w:rsid w:val="486B6A68"/>
    <w:rsid w:val="487C1AC6"/>
    <w:rsid w:val="487C531D"/>
    <w:rsid w:val="48991602"/>
    <w:rsid w:val="49A16764"/>
    <w:rsid w:val="4A4031CA"/>
    <w:rsid w:val="4AC107AA"/>
    <w:rsid w:val="4B0B4213"/>
    <w:rsid w:val="4BA968A7"/>
    <w:rsid w:val="4BB64787"/>
    <w:rsid w:val="4BC77E5B"/>
    <w:rsid w:val="4C003422"/>
    <w:rsid w:val="4C4F41D4"/>
    <w:rsid w:val="4C673482"/>
    <w:rsid w:val="4CC63CBE"/>
    <w:rsid w:val="4CCE616D"/>
    <w:rsid w:val="4D0F65AA"/>
    <w:rsid w:val="4D307AF7"/>
    <w:rsid w:val="4D3579F9"/>
    <w:rsid w:val="4D4F4185"/>
    <w:rsid w:val="4D99644C"/>
    <w:rsid w:val="4DB45BE5"/>
    <w:rsid w:val="4DD8745B"/>
    <w:rsid w:val="4DD94090"/>
    <w:rsid w:val="4DE47760"/>
    <w:rsid w:val="4DEB4D5D"/>
    <w:rsid w:val="4E095EF4"/>
    <w:rsid w:val="4E1A0EDA"/>
    <w:rsid w:val="4E1E6076"/>
    <w:rsid w:val="4E224181"/>
    <w:rsid w:val="4E254244"/>
    <w:rsid w:val="4E574D62"/>
    <w:rsid w:val="4E656769"/>
    <w:rsid w:val="4E9304FA"/>
    <w:rsid w:val="4EA15C61"/>
    <w:rsid w:val="4EA90733"/>
    <w:rsid w:val="4EC97980"/>
    <w:rsid w:val="4EDF3B77"/>
    <w:rsid w:val="4F0C4EB3"/>
    <w:rsid w:val="4F367A34"/>
    <w:rsid w:val="4F7C3D7A"/>
    <w:rsid w:val="4F8E7129"/>
    <w:rsid w:val="50020040"/>
    <w:rsid w:val="500E7D2E"/>
    <w:rsid w:val="502453A5"/>
    <w:rsid w:val="50495703"/>
    <w:rsid w:val="50645912"/>
    <w:rsid w:val="50821A39"/>
    <w:rsid w:val="50B72C65"/>
    <w:rsid w:val="50C35EE1"/>
    <w:rsid w:val="50D9346E"/>
    <w:rsid w:val="516B4A88"/>
    <w:rsid w:val="51875EBD"/>
    <w:rsid w:val="51CD63C2"/>
    <w:rsid w:val="52785C72"/>
    <w:rsid w:val="52AC315B"/>
    <w:rsid w:val="536E3357"/>
    <w:rsid w:val="5386634F"/>
    <w:rsid w:val="538E5FE8"/>
    <w:rsid w:val="53A553CA"/>
    <w:rsid w:val="53B140BB"/>
    <w:rsid w:val="53BC292B"/>
    <w:rsid w:val="54052604"/>
    <w:rsid w:val="540B0D4C"/>
    <w:rsid w:val="541C51C8"/>
    <w:rsid w:val="541F5639"/>
    <w:rsid w:val="54BC564F"/>
    <w:rsid w:val="54CD23AC"/>
    <w:rsid w:val="54D00DAA"/>
    <w:rsid w:val="54F91081"/>
    <w:rsid w:val="5513662B"/>
    <w:rsid w:val="55141FB3"/>
    <w:rsid w:val="551F34B9"/>
    <w:rsid w:val="55516654"/>
    <w:rsid w:val="555D10E1"/>
    <w:rsid w:val="55717D08"/>
    <w:rsid w:val="55964737"/>
    <w:rsid w:val="55B82F98"/>
    <w:rsid w:val="562E4FC3"/>
    <w:rsid w:val="56421272"/>
    <w:rsid w:val="56433E53"/>
    <w:rsid w:val="576520FC"/>
    <w:rsid w:val="579F3463"/>
    <w:rsid w:val="57BA1560"/>
    <w:rsid w:val="58247CA5"/>
    <w:rsid w:val="58525DA9"/>
    <w:rsid w:val="586E5318"/>
    <w:rsid w:val="587A1CC5"/>
    <w:rsid w:val="588420D7"/>
    <w:rsid w:val="589869E9"/>
    <w:rsid w:val="589D0367"/>
    <w:rsid w:val="58A72BBC"/>
    <w:rsid w:val="58AB0B14"/>
    <w:rsid w:val="58B007A0"/>
    <w:rsid w:val="58B106AE"/>
    <w:rsid w:val="58CD2CA0"/>
    <w:rsid w:val="58E02E04"/>
    <w:rsid w:val="58FB4378"/>
    <w:rsid w:val="5923290E"/>
    <w:rsid w:val="599E156D"/>
    <w:rsid w:val="59A33F67"/>
    <w:rsid w:val="59AD2331"/>
    <w:rsid w:val="59C82EF7"/>
    <w:rsid w:val="59E42A08"/>
    <w:rsid w:val="5A754634"/>
    <w:rsid w:val="5AAA25CD"/>
    <w:rsid w:val="5AE36F1F"/>
    <w:rsid w:val="5AEB1D3C"/>
    <w:rsid w:val="5BCA7C0E"/>
    <w:rsid w:val="5BD62A70"/>
    <w:rsid w:val="5C5C4B92"/>
    <w:rsid w:val="5C6A18AC"/>
    <w:rsid w:val="5CA621B6"/>
    <w:rsid w:val="5D1F2A61"/>
    <w:rsid w:val="5D1F518E"/>
    <w:rsid w:val="5D244C9D"/>
    <w:rsid w:val="5D29124F"/>
    <w:rsid w:val="5D6A0411"/>
    <w:rsid w:val="5DB24468"/>
    <w:rsid w:val="5DC563E5"/>
    <w:rsid w:val="5DC7167D"/>
    <w:rsid w:val="5E0E48E3"/>
    <w:rsid w:val="5E1A3F6B"/>
    <w:rsid w:val="5E7B2864"/>
    <w:rsid w:val="5E99664E"/>
    <w:rsid w:val="5EAD3A79"/>
    <w:rsid w:val="5EDC0804"/>
    <w:rsid w:val="5EDD4987"/>
    <w:rsid w:val="5F016412"/>
    <w:rsid w:val="5F3B1755"/>
    <w:rsid w:val="5F755D56"/>
    <w:rsid w:val="5F944318"/>
    <w:rsid w:val="5FE018E8"/>
    <w:rsid w:val="600029CB"/>
    <w:rsid w:val="600B4862"/>
    <w:rsid w:val="608A08FC"/>
    <w:rsid w:val="60941B4B"/>
    <w:rsid w:val="609C5803"/>
    <w:rsid w:val="611B3787"/>
    <w:rsid w:val="611F32B9"/>
    <w:rsid w:val="619077B6"/>
    <w:rsid w:val="61AC4EAB"/>
    <w:rsid w:val="61B12A1D"/>
    <w:rsid w:val="61CE5516"/>
    <w:rsid w:val="61F16C79"/>
    <w:rsid w:val="62655778"/>
    <w:rsid w:val="62694F95"/>
    <w:rsid w:val="62810548"/>
    <w:rsid w:val="62C93754"/>
    <w:rsid w:val="62E01C40"/>
    <w:rsid w:val="63021F49"/>
    <w:rsid w:val="63890B0D"/>
    <w:rsid w:val="63D75825"/>
    <w:rsid w:val="64027258"/>
    <w:rsid w:val="640563B2"/>
    <w:rsid w:val="641D0DFE"/>
    <w:rsid w:val="645770E9"/>
    <w:rsid w:val="647400A5"/>
    <w:rsid w:val="64A46A55"/>
    <w:rsid w:val="64AD6389"/>
    <w:rsid w:val="64AD7FAE"/>
    <w:rsid w:val="64CC6C99"/>
    <w:rsid w:val="64DF0F14"/>
    <w:rsid w:val="64F455F8"/>
    <w:rsid w:val="65225276"/>
    <w:rsid w:val="65317C76"/>
    <w:rsid w:val="65707066"/>
    <w:rsid w:val="657A7D91"/>
    <w:rsid w:val="65B93147"/>
    <w:rsid w:val="65C15F97"/>
    <w:rsid w:val="65CE0F4D"/>
    <w:rsid w:val="65E62450"/>
    <w:rsid w:val="65FA1743"/>
    <w:rsid w:val="66254264"/>
    <w:rsid w:val="6641697A"/>
    <w:rsid w:val="66577881"/>
    <w:rsid w:val="666F0BF5"/>
    <w:rsid w:val="667B72EC"/>
    <w:rsid w:val="66C76C4F"/>
    <w:rsid w:val="66E40F20"/>
    <w:rsid w:val="675E13B6"/>
    <w:rsid w:val="67B9050B"/>
    <w:rsid w:val="68895967"/>
    <w:rsid w:val="68C71B9F"/>
    <w:rsid w:val="691D2CAB"/>
    <w:rsid w:val="6A073DF8"/>
    <w:rsid w:val="6A7D0B82"/>
    <w:rsid w:val="6A8F05C5"/>
    <w:rsid w:val="6AB5327A"/>
    <w:rsid w:val="6AC62994"/>
    <w:rsid w:val="6AFA5A5A"/>
    <w:rsid w:val="6BDC1D32"/>
    <w:rsid w:val="6BDE6DB1"/>
    <w:rsid w:val="6C166023"/>
    <w:rsid w:val="6C1A30D5"/>
    <w:rsid w:val="6C211D5E"/>
    <w:rsid w:val="6C422B0C"/>
    <w:rsid w:val="6CCD62C4"/>
    <w:rsid w:val="6CFF5D29"/>
    <w:rsid w:val="6D4243A9"/>
    <w:rsid w:val="6D444DF4"/>
    <w:rsid w:val="6D545430"/>
    <w:rsid w:val="6D78674A"/>
    <w:rsid w:val="6D8F4A11"/>
    <w:rsid w:val="6D9E56F3"/>
    <w:rsid w:val="6DCB525E"/>
    <w:rsid w:val="6DE353A3"/>
    <w:rsid w:val="6DFC6445"/>
    <w:rsid w:val="6E5B57E6"/>
    <w:rsid w:val="6E6E6B47"/>
    <w:rsid w:val="6E8C4A6E"/>
    <w:rsid w:val="6EB171CD"/>
    <w:rsid w:val="6EF23FF8"/>
    <w:rsid w:val="6F222F51"/>
    <w:rsid w:val="6F2D0AC7"/>
    <w:rsid w:val="6F526E12"/>
    <w:rsid w:val="6F6B31C2"/>
    <w:rsid w:val="6FDC4155"/>
    <w:rsid w:val="6FEB1265"/>
    <w:rsid w:val="6FF03413"/>
    <w:rsid w:val="6FF80A7A"/>
    <w:rsid w:val="700C4DA2"/>
    <w:rsid w:val="701A224B"/>
    <w:rsid w:val="702F6C2E"/>
    <w:rsid w:val="70823B35"/>
    <w:rsid w:val="70CA4004"/>
    <w:rsid w:val="70E75129"/>
    <w:rsid w:val="70ED3CCD"/>
    <w:rsid w:val="71095B7F"/>
    <w:rsid w:val="712723EC"/>
    <w:rsid w:val="71571C38"/>
    <w:rsid w:val="715B43C1"/>
    <w:rsid w:val="716550D9"/>
    <w:rsid w:val="716D58D5"/>
    <w:rsid w:val="71C82497"/>
    <w:rsid w:val="721714A7"/>
    <w:rsid w:val="72283C93"/>
    <w:rsid w:val="72B322A1"/>
    <w:rsid w:val="72DC3F36"/>
    <w:rsid w:val="72E86D2C"/>
    <w:rsid w:val="731C586E"/>
    <w:rsid w:val="73605398"/>
    <w:rsid w:val="736D7772"/>
    <w:rsid w:val="73787927"/>
    <w:rsid w:val="73A04267"/>
    <w:rsid w:val="73F45C6E"/>
    <w:rsid w:val="741A367B"/>
    <w:rsid w:val="74342568"/>
    <w:rsid w:val="74493378"/>
    <w:rsid w:val="749A1E73"/>
    <w:rsid w:val="74AC0108"/>
    <w:rsid w:val="74D2639C"/>
    <w:rsid w:val="75BC0E3B"/>
    <w:rsid w:val="75BC51F6"/>
    <w:rsid w:val="75E6348C"/>
    <w:rsid w:val="75F05E57"/>
    <w:rsid w:val="75F60AD2"/>
    <w:rsid w:val="76685E0C"/>
    <w:rsid w:val="77273B4E"/>
    <w:rsid w:val="77422D07"/>
    <w:rsid w:val="7763505D"/>
    <w:rsid w:val="778D7771"/>
    <w:rsid w:val="77B61D28"/>
    <w:rsid w:val="77B72694"/>
    <w:rsid w:val="77BC6AB0"/>
    <w:rsid w:val="78535F0B"/>
    <w:rsid w:val="787F27BF"/>
    <w:rsid w:val="78B977C1"/>
    <w:rsid w:val="78DB5D28"/>
    <w:rsid w:val="79093F44"/>
    <w:rsid w:val="7924675C"/>
    <w:rsid w:val="793C7F03"/>
    <w:rsid w:val="79420181"/>
    <w:rsid w:val="794B1E4F"/>
    <w:rsid w:val="79644E84"/>
    <w:rsid w:val="797219F4"/>
    <w:rsid w:val="799F04A2"/>
    <w:rsid w:val="79D4673D"/>
    <w:rsid w:val="79DC59CC"/>
    <w:rsid w:val="79DE1DF8"/>
    <w:rsid w:val="7A100EB9"/>
    <w:rsid w:val="7A575A13"/>
    <w:rsid w:val="7A8B0190"/>
    <w:rsid w:val="7ABF6A08"/>
    <w:rsid w:val="7AC835DB"/>
    <w:rsid w:val="7B0105C8"/>
    <w:rsid w:val="7B6502F8"/>
    <w:rsid w:val="7B66390B"/>
    <w:rsid w:val="7B7175B3"/>
    <w:rsid w:val="7B792CDF"/>
    <w:rsid w:val="7BBF00D2"/>
    <w:rsid w:val="7C0264B5"/>
    <w:rsid w:val="7C47464D"/>
    <w:rsid w:val="7C4C3209"/>
    <w:rsid w:val="7CA92DC3"/>
    <w:rsid w:val="7D1348B3"/>
    <w:rsid w:val="7D702C64"/>
    <w:rsid w:val="7D85266B"/>
    <w:rsid w:val="7D8622A7"/>
    <w:rsid w:val="7DBA3164"/>
    <w:rsid w:val="7DFA5CB8"/>
    <w:rsid w:val="7E7D5CC1"/>
    <w:rsid w:val="7F216F67"/>
    <w:rsid w:val="7F29233F"/>
    <w:rsid w:val="7F3D2CC0"/>
    <w:rsid w:val="7F42536E"/>
    <w:rsid w:val="7F4B3E1D"/>
    <w:rsid w:val="7F69095D"/>
    <w:rsid w:val="7FE12E5F"/>
    <w:rsid w:val="7FEE2C89"/>
    <w:rsid w:val="7FFF6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4"/>
    <w:qFormat/>
    <w:uiPriority w:val="0"/>
    <w:pPr>
      <w:spacing w:after="120"/>
    </w:pPr>
    <w:rPr>
      <w:rFonts w:ascii="Times New Roman" w:hAnsi="Times New Roman" w:eastAsia="宋体" w:cs="Times New Roman"/>
      <w:szCs w:val="24"/>
    </w:rPr>
  </w:style>
  <w:style w:type="paragraph" w:styleId="3">
    <w:name w:val="Date"/>
    <w:basedOn w:val="1"/>
    <w:next w:val="1"/>
    <w:link w:val="13"/>
    <w:unhideWhenUsed/>
    <w:qFormat/>
    <w:uiPriority w:val="99"/>
    <w:pPr>
      <w:ind w:left="100" w:leftChars="2500"/>
    </w:pPr>
  </w:style>
  <w:style w:type="paragraph" w:styleId="4">
    <w:name w:val="Balloon Text"/>
    <w:basedOn w:val="1"/>
    <w:link w:val="15"/>
    <w:unhideWhenUsed/>
    <w:qFormat/>
    <w:uiPriority w:val="0"/>
    <w:rPr>
      <w:sz w:val="18"/>
      <w:szCs w:val="18"/>
    </w:rPr>
  </w:style>
  <w:style w:type="paragraph" w:styleId="5">
    <w:name w:val="footer"/>
    <w:basedOn w:val="1"/>
    <w:link w:val="12"/>
    <w:unhideWhenUsed/>
    <w:qFormat/>
    <w:uiPriority w:val="0"/>
    <w:pPr>
      <w:tabs>
        <w:tab w:val="center" w:pos="4153"/>
        <w:tab w:val="right" w:pos="8306"/>
      </w:tabs>
      <w:snapToGrid w:val="0"/>
      <w:jc w:val="left"/>
    </w:pPr>
    <w:rPr>
      <w:sz w:val="18"/>
      <w:szCs w:val="18"/>
    </w:rPr>
  </w:style>
  <w:style w:type="paragraph" w:styleId="6">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page number"/>
    <w:basedOn w:val="9"/>
    <w:qFormat/>
    <w:uiPriority w:val="0"/>
  </w:style>
  <w:style w:type="character" w:customStyle="1" w:styleId="11">
    <w:name w:val="页眉 Char"/>
    <w:basedOn w:val="9"/>
    <w:link w:val="6"/>
    <w:semiHidden/>
    <w:qFormat/>
    <w:uiPriority w:val="99"/>
    <w:rPr>
      <w:sz w:val="18"/>
      <w:szCs w:val="18"/>
    </w:rPr>
  </w:style>
  <w:style w:type="character" w:customStyle="1" w:styleId="12">
    <w:name w:val="页脚 Char"/>
    <w:basedOn w:val="9"/>
    <w:link w:val="5"/>
    <w:semiHidden/>
    <w:qFormat/>
    <w:uiPriority w:val="99"/>
    <w:rPr>
      <w:sz w:val="18"/>
      <w:szCs w:val="18"/>
    </w:rPr>
  </w:style>
  <w:style w:type="character" w:customStyle="1" w:styleId="13">
    <w:name w:val="日期 Char"/>
    <w:basedOn w:val="9"/>
    <w:link w:val="3"/>
    <w:semiHidden/>
    <w:qFormat/>
    <w:uiPriority w:val="99"/>
  </w:style>
  <w:style w:type="character" w:customStyle="1" w:styleId="14">
    <w:name w:val="正文文本 Char"/>
    <w:basedOn w:val="9"/>
    <w:link w:val="2"/>
    <w:qFormat/>
    <w:uiPriority w:val="0"/>
    <w:rPr>
      <w:rFonts w:ascii="Times New Roman" w:hAnsi="Times New Roman" w:eastAsia="宋体" w:cs="Times New Roman"/>
      <w:szCs w:val="24"/>
    </w:rPr>
  </w:style>
  <w:style w:type="character" w:customStyle="1" w:styleId="15">
    <w:name w:val="批注框文本 Char"/>
    <w:basedOn w:val="9"/>
    <w:link w:val="4"/>
    <w:semiHidden/>
    <w:qFormat/>
    <w:uiPriority w:val="99"/>
    <w:rPr>
      <w:sz w:val="18"/>
      <w:szCs w:val="18"/>
    </w:rPr>
  </w:style>
  <w:style w:type="paragraph" w:customStyle="1" w:styleId="16">
    <w:name w:val="列出段落1"/>
    <w:basedOn w:val="1"/>
    <w:qFormat/>
    <w:uiPriority w:val="34"/>
    <w:pPr>
      <w:ind w:firstLine="420" w:firstLineChars="200"/>
    </w:pPr>
  </w:style>
  <w:style w:type="paragraph" w:customStyle="1" w:styleId="17">
    <w:name w:val="Char"/>
    <w:basedOn w:val="1"/>
    <w:qFormat/>
    <w:uiPriority w:val="0"/>
    <w:rPr>
      <w:rFonts w:ascii="Tahoma" w:hAnsi="Tahoma" w:eastAsia="宋体" w:cs="Times New Roman"/>
      <w:sz w:val="24"/>
      <w:szCs w:val="20"/>
    </w:rPr>
  </w:style>
  <w:style w:type="paragraph" w:customStyle="1" w:styleId="18">
    <w:name w:val="Char Char Char Char1 Char Char Char Char Char Char Char Char Char Char Char Char Char Char Char Char Char"/>
    <w:basedOn w:val="1"/>
    <w:qFormat/>
    <w:uiPriority w:val="0"/>
    <w:pPr>
      <w:widowControl/>
      <w:spacing w:after="160" w:line="240" w:lineRule="exact"/>
      <w:ind w:firstLine="980" w:firstLineChars="350"/>
      <w:jc w:val="left"/>
    </w:pPr>
    <w:rPr>
      <w:rFonts w:ascii="Verdana" w:hAnsi="Verdana" w:eastAsia="仿宋_GB2312" w:cs="Times New Roman"/>
      <w:kern w:val="0"/>
      <w:sz w:val="28"/>
      <w:szCs w:val="28"/>
      <w:lang w:eastAsia="en-US"/>
    </w:rPr>
  </w:style>
  <w:style w:type="paragraph" w:customStyle="1" w:styleId="19">
    <w:name w:val="Char Char Char Char Char Char Char Char Char Char Char Char Char Char Char Char"/>
    <w:basedOn w:val="1"/>
    <w:qFormat/>
    <w:uiPriority w:val="0"/>
    <w:pPr>
      <w:tabs>
        <w:tab w:val="left" w:pos="360"/>
      </w:tabs>
    </w:pPr>
    <w:rPr>
      <w:rFonts w:ascii="Times New Roman" w:hAnsi="Times New Roman" w:eastAsia="宋体" w:cs="Times New Roman"/>
      <w:sz w:val="24"/>
      <w:szCs w:val="24"/>
    </w:rPr>
  </w:style>
  <w:style w:type="paragraph" w:customStyle="1" w:styleId="20">
    <w:name w:val="p0"/>
    <w:basedOn w:val="1"/>
    <w:qFormat/>
    <w:uiPriority w:val="0"/>
    <w:pPr>
      <w:widowControl/>
      <w:spacing w:line="600" w:lineRule="atLeast"/>
      <w:ind w:firstLine="420"/>
    </w:pPr>
    <w:rPr>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chart" Target="charts/chart6.xml"/><Relationship Id="rId21" Type="http://schemas.openxmlformats.org/officeDocument/2006/relationships/chart" Target="charts/chart5.xml"/><Relationship Id="rId20" Type="http://schemas.openxmlformats.org/officeDocument/2006/relationships/chart" Target="charts/chart4.xml"/><Relationship Id="rId2" Type="http://schemas.openxmlformats.org/officeDocument/2006/relationships/settings" Target="settings.xml"/><Relationship Id="rId19" Type="http://schemas.openxmlformats.org/officeDocument/2006/relationships/chart" Target="charts/chart3.xml"/><Relationship Id="rId18" Type="http://schemas.openxmlformats.org/officeDocument/2006/relationships/chart" Target="charts/chart2.xml"/><Relationship Id="rId17" Type="http://schemas.openxmlformats.org/officeDocument/2006/relationships/chart" Target="charts/chart1.xml"/><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2018</c:v>
                </c:pt>
                <c:pt idx="1">
                  <c:v>2019</c:v>
                </c:pt>
              </c:numCache>
            </c:numRef>
          </c:cat>
          <c:val>
            <c:numRef>
              <c:f>Sheet1!$B$2:$B$3</c:f>
              <c:numCache>
                <c:formatCode>General</c:formatCode>
                <c:ptCount val="2"/>
                <c:pt idx="0">
                  <c:v>185.42</c:v>
                </c:pt>
                <c:pt idx="1">
                  <c:v>186.23</c:v>
                </c:pt>
              </c:numCache>
            </c:numRef>
          </c:val>
        </c:ser>
        <c:ser>
          <c:idx val="1"/>
          <c:order val="1"/>
          <c:tx>
            <c:strRef>
              <c:f>Sheet1!$C$1</c:f>
              <c:strCache>
                <c:ptCount val="1"/>
                <c:pt idx="0">
                  <c:v>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2018</c:v>
                </c:pt>
                <c:pt idx="1">
                  <c:v>2019</c:v>
                </c:pt>
              </c:numCache>
            </c:numRef>
          </c:cat>
          <c:val>
            <c:numRef>
              <c:f>Sheet1!$C$2:$C$3</c:f>
              <c:numCache>
                <c:formatCode>General</c:formatCode>
                <c:ptCount val="2"/>
                <c:pt idx="0">
                  <c:v>189.7</c:v>
                </c:pt>
                <c:pt idx="1">
                  <c:v>188.4</c:v>
                </c:pt>
              </c:numCache>
            </c:numRef>
          </c:val>
        </c:ser>
        <c:dLbls>
          <c:showLegendKey val="0"/>
          <c:showVal val="1"/>
          <c:showCatName val="0"/>
          <c:showSerName val="0"/>
          <c:showPercent val="0"/>
          <c:showBubbleSize val="0"/>
        </c:dLbls>
        <c:gapWidth val="219"/>
        <c:overlap val="-27"/>
        <c:axId val="643973684"/>
        <c:axId val="743354293"/>
      </c:barChart>
      <c:catAx>
        <c:axId val="64397368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3354293"/>
        <c:crosses val="autoZero"/>
        <c:auto val="1"/>
        <c:lblAlgn val="ctr"/>
        <c:lblOffset val="100"/>
        <c:noMultiLvlLbl val="0"/>
      </c:catAx>
      <c:valAx>
        <c:axId val="74335429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39736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收入决算</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Sheet1!$A$2:$A$4</c:f>
              <c:strCache>
                <c:ptCount val="3"/>
                <c:pt idx="0">
                  <c:v>财政拨款</c:v>
                </c:pt>
                <c:pt idx="1">
                  <c:v>上级补助</c:v>
                </c:pt>
                <c:pt idx="2">
                  <c:v>其他收入</c:v>
                </c:pt>
              </c:strCache>
            </c:strRef>
          </c:cat>
          <c:val>
            <c:numRef>
              <c:extLst>
                <c:ext xmlns:c15="http://schemas.microsoft.com/office/drawing/2012/chart" uri="{02D57815-91ED-43cb-92C2-25804820EDAC}">
                  <c15:fullRef>
                    <c15:sqref>Sheet1!$B$2:$B$5</c15:sqref>
                  </c15:fullRef>
                </c:ext>
              </c:extLst>
              <c:f>Sheet1!$B$2:$B$4</c:f>
              <c:numCache>
                <c:formatCode>General</c:formatCode>
                <c:ptCount val="3"/>
                <c:pt idx="0">
                  <c:v>186.23</c:v>
                </c:pt>
                <c:pt idx="1">
                  <c:v>0</c:v>
                </c:pt>
                <c:pt idx="2">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支出决算情况</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Sheet1!$A$2:$A$4</c:f>
              <c:strCache>
                <c:ptCount val="3"/>
                <c:pt idx="0">
                  <c:v>基本支出</c:v>
                </c:pt>
                <c:pt idx="1">
                  <c:v>项目支出</c:v>
                </c:pt>
                <c:pt idx="2">
                  <c:v>对附属单位补助支出</c:v>
                </c:pt>
              </c:strCache>
            </c:strRef>
          </c:cat>
          <c:val>
            <c:numRef>
              <c:extLst>
                <c:ext xmlns:c15="http://schemas.microsoft.com/office/drawing/2012/chart" uri="{02D57815-91ED-43cb-92C2-25804820EDAC}">
                  <c15:fullRef>
                    <c15:sqref>Sheet1!$B$2:$B$5</c15:sqref>
                  </c15:fullRef>
                </c:ext>
              </c:extLst>
              <c:f>Sheet1!$B$2:$B$4</c:f>
              <c:numCache>
                <c:formatCode>General</c:formatCode>
                <c:ptCount val="3"/>
                <c:pt idx="0">
                  <c:v>179.96</c:v>
                </c:pt>
                <c:pt idx="1">
                  <c:v>8.43</c:v>
                </c:pt>
                <c:pt idx="2">
                  <c:v>0</c:v>
                </c:pt>
              </c:numCache>
            </c:numRef>
          </c:val>
        </c:ser>
        <c:ser>
          <c:idx val="1"/>
          <c:order val="1"/>
          <c:tx>
            <c:strRef>
              <c:f>Sheet1!$C$1</c:f>
              <c:strCache>
                <c:ptCount val="1"/>
                <c:pt idx="0">
                  <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Sheet1!$A$2:$A$4</c:f>
              <c:strCache>
                <c:ptCount val="3"/>
                <c:pt idx="0">
                  <c:v>基本支出</c:v>
                </c:pt>
                <c:pt idx="1">
                  <c:v>项目支出</c:v>
                </c:pt>
                <c:pt idx="2">
                  <c:v>对附属单位补助支出</c:v>
                </c:pt>
              </c:strCache>
            </c:strRef>
          </c:cat>
          <c:val>
            <c:numRef>
              <c:extLst>
                <c:ext xmlns:c15="http://schemas.microsoft.com/office/drawing/2012/chart" uri="{02D57815-91ED-43cb-92C2-25804820EDAC}">
                  <c15:fullRef>
                    <c15:sqref>Sheet1!$C$2:$C$5</c15:sqref>
                  </c15:fullRef>
                </c:ext>
              </c:extLst>
              <c:f>Sheet1!$C$2:$C$4</c:f>
              <c:numCache>
                <c:formatCode>General</c:formatCode>
                <c:ptCount val="3"/>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2018</c:v>
                </c:pt>
                <c:pt idx="1">
                  <c:v>2019</c:v>
                </c:pt>
              </c:numCache>
            </c:numRef>
          </c:cat>
          <c:val>
            <c:numRef>
              <c:f>Sheet1!$B$2:$B$3</c:f>
              <c:numCache>
                <c:formatCode>General</c:formatCode>
                <c:ptCount val="2"/>
                <c:pt idx="0">
                  <c:v>185.42</c:v>
                </c:pt>
                <c:pt idx="1">
                  <c:v>186.23</c:v>
                </c:pt>
              </c:numCache>
            </c:numRef>
          </c:val>
        </c:ser>
        <c:ser>
          <c:idx val="1"/>
          <c:order val="1"/>
          <c:tx>
            <c:strRef>
              <c:f>Sheet1!$C$1</c:f>
              <c:strCache>
                <c:ptCount val="1"/>
                <c:pt idx="0">
                  <c:v>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2018</c:v>
                </c:pt>
                <c:pt idx="1">
                  <c:v>2019</c:v>
                </c:pt>
              </c:numCache>
            </c:numRef>
          </c:cat>
          <c:val>
            <c:numRef>
              <c:f>Sheet1!$C$2:$C$3</c:f>
              <c:numCache>
                <c:formatCode>General</c:formatCode>
                <c:ptCount val="2"/>
                <c:pt idx="0">
                  <c:v>189.7</c:v>
                </c:pt>
                <c:pt idx="1">
                  <c:v>188.4</c:v>
                </c:pt>
              </c:numCache>
            </c:numRef>
          </c:val>
        </c:ser>
        <c:dLbls>
          <c:showLegendKey val="0"/>
          <c:showVal val="1"/>
          <c:showCatName val="0"/>
          <c:showSerName val="0"/>
          <c:showPercent val="0"/>
          <c:showBubbleSize val="0"/>
        </c:dLbls>
        <c:gapWidth val="219"/>
        <c:overlap val="-27"/>
        <c:axId val="643973684"/>
        <c:axId val="743354293"/>
      </c:barChart>
      <c:catAx>
        <c:axId val="64397368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3354293"/>
        <c:crosses val="autoZero"/>
        <c:auto val="1"/>
        <c:lblAlgn val="ctr"/>
        <c:lblOffset val="100"/>
        <c:noMultiLvlLbl val="0"/>
      </c:catAx>
      <c:valAx>
        <c:axId val="74335429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39736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51888111888112"/>
          <c:y val="0.320175438596491"/>
          <c:w val="0.919356643356643"/>
          <c:h val="0.426248313090418"/>
        </c:manualLayout>
      </c:layout>
      <c:barChart>
        <c:barDir val="col"/>
        <c:grouping val="clustered"/>
        <c:varyColors val="0"/>
        <c:ser>
          <c:idx val="0"/>
          <c:order val="0"/>
          <c:tx>
            <c:strRef>
              <c:f>Sheet1!$B$1</c:f>
              <c:strCache>
                <c:ptCount val="1"/>
                <c:pt idx="0">
                  <c:v>2018年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c:f>
              <c:strCache>
                <c:ptCount val="1"/>
                <c:pt idx="0">
                  <c:v>一般公共预算财政支出</c:v>
                </c:pt>
              </c:strCache>
            </c:strRef>
          </c:cat>
          <c:val>
            <c:numRef>
              <c:extLst>
                <c:ext xmlns:c15="http://schemas.microsoft.com/office/drawing/2012/chart" uri="{02D57815-91ED-43cb-92C2-25804820EDAC}">
                  <c15:fullRef>
                    <c15:sqref>Sheet1!$B$2:$B$5</c15:sqref>
                  </c15:fullRef>
                </c:ext>
              </c:extLst>
              <c:f>Sheet1!$B$2</c:f>
              <c:numCache>
                <c:formatCode>General</c:formatCode>
                <c:ptCount val="1"/>
                <c:pt idx="0">
                  <c:v>189.7</c:v>
                </c:pt>
              </c:numCache>
            </c:numRef>
          </c:val>
        </c:ser>
        <c:ser>
          <c:idx val="1"/>
          <c:order val="1"/>
          <c:tx>
            <c:strRef>
              <c:f>Sheet1!$C$1</c:f>
              <c:strCache>
                <c:ptCount val="1"/>
                <c:pt idx="0">
                  <c:v>2019年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c:f>
              <c:strCache>
                <c:ptCount val="1"/>
                <c:pt idx="0">
                  <c:v>一般公共预算财政支出</c:v>
                </c:pt>
              </c:strCache>
            </c:strRef>
          </c:cat>
          <c:val>
            <c:numRef>
              <c:extLst>
                <c:ext xmlns:c15="http://schemas.microsoft.com/office/drawing/2012/chart" uri="{02D57815-91ED-43cb-92C2-25804820EDAC}">
                  <c15:fullRef>
                    <c15:sqref>Sheet1!$C$2:$C$5</c15:sqref>
                  </c15:fullRef>
                </c:ext>
              </c:extLst>
              <c:f>Sheet1!$C$2</c:f>
              <c:numCache>
                <c:formatCode>General</c:formatCode>
                <c:ptCount val="1"/>
                <c:pt idx="0">
                  <c:v>188.4</c:v>
                </c:pt>
              </c:numCache>
            </c:numRef>
          </c:val>
        </c:ser>
        <c:dLbls>
          <c:showLegendKey val="0"/>
          <c:showVal val="1"/>
          <c:showCatName val="0"/>
          <c:showSerName val="0"/>
          <c:showPercent val="0"/>
          <c:showBubbleSize val="0"/>
        </c:dLbls>
        <c:gapWidth val="219"/>
        <c:overlap val="-27"/>
        <c:axId val="109693284"/>
        <c:axId val="61468254"/>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系列 3</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Sheet1!$A$2:$A$5</c15:sqref>
                        </c15:fullRef>
                        <c15:formulaRef>
                          <c15:sqref>Sheet1!$A$2</c15:sqref>
                        </c15:formulaRef>
                      </c:ext>
                    </c:extLst>
                    <c:strCache>
                      <c:ptCount val="1"/>
                      <c:pt idx="0">
                        <c:v>一般公共预算财政支出</c:v>
                      </c:pt>
                    </c:strCache>
                  </c:strRef>
                </c:cat>
                <c:val>
                  <c:numRef>
                    <c:extLst>
                      <c:ext uri="{02D57815-91ED-43cb-92C2-25804820EDAC}">
                        <c15:fullRef>
                          <c15:sqref>Sheet1!$D$2:$D$5</c15:sqref>
                        </c15:fullRef>
                        <c15:formulaRef>
                          <c15:sqref>Sheet1!$D$2</c15:sqref>
                        </c15:formulaRef>
                      </c:ext>
                    </c:extLst>
                    <c:numCache>
                      <c:formatCode>General</c:formatCode>
                      <c:ptCount val="1"/>
                      <c:pt idx="0">
                        <c:v>2</c:v>
                      </c:pt>
                    </c:numCache>
                  </c:numRef>
                </c:val>
              </c15:ser>
            </c15:filteredBarSeries>
          </c:ext>
        </c:extLst>
      </c:barChart>
      <c:catAx>
        <c:axId val="10969328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468254"/>
        <c:crosses val="autoZero"/>
        <c:auto val="1"/>
        <c:lblAlgn val="ctr"/>
        <c:lblOffset val="100"/>
        <c:noMultiLvlLbl val="0"/>
      </c:catAx>
      <c:valAx>
        <c:axId val="6146825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96932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一般公共服务</c:v>
                </c:pt>
                <c:pt idx="1">
                  <c:v>国防支出</c:v>
                </c:pt>
                <c:pt idx="2">
                  <c:v>公共安全</c:v>
                </c:pt>
                <c:pt idx="3">
                  <c:v>教育支出</c:v>
                </c:pt>
              </c:strCache>
            </c:strRef>
          </c:cat>
          <c:val>
            <c:numRef>
              <c:f>Sheet1!$B$2:$B$5</c:f>
              <c:numCache>
                <c:formatCode>General</c:formatCode>
                <c:ptCount val="4"/>
                <c:pt idx="0">
                  <c:v>188.4</c:v>
                </c:pt>
                <c:pt idx="1">
                  <c:v>0</c:v>
                </c:pt>
                <c:pt idx="2">
                  <c:v>0</c:v>
                </c:pt>
                <c:pt idx="3">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7" textRotate="1"/>
    <customShpInfo spid="_x0000_s2058"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59DBFC-5860-4BEB-900F-A43249E9F0D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29</Pages>
  <Words>1747</Words>
  <Characters>9963</Characters>
  <Lines>83</Lines>
  <Paragraphs>23</Paragraphs>
  <TotalTime>0</TotalTime>
  <ScaleCrop>false</ScaleCrop>
  <LinksUpToDate>false</LinksUpToDate>
  <CharactersWithSpaces>11687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2013-10-28T04:29:00Z</dcterms:created>
  <dc:creator>微软用户</dc:creator>
  <cp:lastModifiedBy>Administrator</cp:lastModifiedBy>
  <cp:lastPrinted>2019-08-20T02:32:00Z</cp:lastPrinted>
  <dcterms:modified xsi:type="dcterms:W3CDTF">2020-09-25T06:50:16Z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